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11.2023.17 vom 19. Juni 2024</w:t>
      </w:r>
    </w:p>
    <w:p>
      <w:r>
        <w:t>TI Tribunale d'appello, 2024-06-19, IT</w:t>
      </w:r>
    </w:p>
    <w:p>
      <w:r>
        <w:rPr>
          <w:b/>
        </w:rPr>
        <w:t xml:space="preserve">Quelle: </w:t>
      </w:r>
      <w:r>
        <w:t>https://mcp.opencaselaw.ch/entscheid/ti_gerichte_11.2023.17</w:t>
      </w:r>
    </w:p>
    <w:p>
      <w:r>
        <w:t>FR: TI_GERICHTE 11.2023.17 du 19 juin 2024</w:t>
      </w:r>
    </w:p>
    <w:p>
      <w:r>
        <w:t>IT: TI_GERICHTE 11.2023.17 del 19 giugno 2024</w:t>
      </w:r>
    </w:p>
    <w:p>
      <w:pPr>
        <w:pStyle w:val="Heading2"/>
      </w:pPr>
      <w:r>
        <w:t>Erwägungen</w:t>
      </w:r>
    </w:p>
    <w:p>
      <w:r>
        <w:rPr>
          <w:b/>
        </w:rPr>
        <w:t>E. 000</w:t>
      </w:r>
    </w:p>
    <w:p>
      <w:r>
        <w:t>è raggiunta, il Pretore avendo fissato il valore litigioso in fr. 30 000.–, importo che non è contestato e che non appare d'acchito inverosimile. Quanto alla tempestività del­l'appello, la decisione impugnata è stata notificata al patrocinatore degli attori il 19 gennaio 2023 (tracciamento dell'invio n. __.__.______.________, agli atti). Cominciato a decorrere l'indomani, il termine d'impugnazione sarebbe scaduto così sabato</w:t>
      </w:r>
    </w:p>
    <w:p>
      <w:r>
        <w:rPr>
          <w:b/>
        </w:rPr>
        <w:t>E. 18</w:t>
      </w:r>
    </w:p>
    <w:p>
      <w:r>
        <w:t>febbraio 2023, salvo protrarsi al lunedì successivo in virtù dell'art. 142 cpv. 3 CPC. Depositato il 20 febbraio 2023 (timbro postale sulla busta d'invio), ultimo giorno utile, l'appello in esame è pertanto ricevibile.</w:t>
      </w:r>
    </w:p>
    <w:p>
      <w:r>
        <w:t>2.Alla replica spontanea del 28 aprile 2023 gli appellanti accludono un annuncio relativo alla locazione di un appartamento sul portale onlineA______(www.______) visitato il 26 aprile precedente (doc. C di appello). Ora, nuovi fatti e nuovi mezzi di prova sono proponibili in appello se vengono immediatamente addotti e se dinanzi alla giurisdizione inferiore non era possibile farli valere nemmeno con la diligenza esigibile, tenuto conto delle circostan­ze (art. 317 cpv. 1 CPC). Nella fattispecie ci si può domandare se tale documento sia ricevibile, gli interessati non fornendo alcuna indicazione sulla data della pubblicazione dell'annuncio, ma soltanto il giorno in cui è stata visitata la pagina internet. Sia come sia, e come si vedrà in seguito, il documento in questione non appare di rilievo ai fini del giudizio.</w:t>
      </w:r>
    </w:p>
    <w:p>
      <w:r>
        <w:t>3.Nella fattispecie gli attori hanno chiesto l'annullamento di una risoluzione negativa, i comproprietari avendo rifiutato la proposta formulata all'assemblea di vietare gli affitti a breve termine (oggetto n. 25). Ora, un'azione di contestazione di delibere assembleari ha natura cassatoria (DTF 145 III 130 consid. 4.3.6). E siccome con un'azione negativa non possono essere imposti alla comunione dei comproprietari obblighi, per casi del genere sussistono specifiche azioni (DTF 145 III 130 consid. 4.3.6; si veda­no gli art. 647 cpv. 2 n. 1, 712gcpv. 3, 712qcpv. 2 e 712rcpv. 2 CC). È possibile tuttavia che, nonostante tali casi specifici, il mero annullamento di una deliberazione assembleare sia insufficien­te per garantire gli interessi di un comproprietario minoritario. In siffatte eventualità, dandosi una violazione del regolamento perl'amministrazione e l'uso, l'attore può ottenere dal giudice un'ingiunzione che sostituisca la mancata decisione dell'assemblea dei comproprietari, Ciò è possibile, segnatamente, qualora la comunionedei comproprietari tolleri  o rifiuti di vietare  un utilizzo lesivo del regolamento da parte di un comproprietario (Wermelingerin:Zürcher Kommentar, 2ª edizione, n. 248a e 250 ad art. 712mCC).</w:t>
      </w:r>
    </w:p>
    <w:p>
      <w:r>
        <w:t>Premesso ciò, in concreto gli appellanti postulano l'annullamento della citata deliberazione assembleare e il divietodi ogni attività di locazione a breve termine. Alla luce di quanto precede una tale richiesta appare ammissibile. Rimane il fatto che il giudice può annullare una deliberazione solo ove questa violi prescrizioni di legge formali o sostanziali, disattenda principi giuridici generali (come il divieto dell'abuso di diritto o dell'eccesso di potere, il precetto della parità di trattamento o la protezione della personalità) oppure disposizioni convenzionali che disciplinano la proprietà per piani (l'atto costitutivo, il regolamento per l'amministrazione e l'uso, il regolamento della casa, il regolamento del fondo di rinnovazione ecc.).Che una risoluzione sia inadeguata, insoddisfacente, inopportuna o finanche iniqua non basta, invece, per giustificare un annullamento. Non tocca al giudice sostituirsi, in casi siffatti, alla volontà della comunione dei comproprietari (RtiD II-2015 pag. 810 consid. 5 con rinvii; più recente: I CCA, senten­za inc. 11.2020.153 del 26 agosto 2022 consid. 4).</w:t>
      </w:r>
    </w:p>
    <w:p>
      <w:r>
        <w:t>Quanto alla domanda formulata in subordine volta a far annullare la decisione impugnata e rinviare gli atti al Pretore per nuovo giudizio, essa non può entrare in linea di conto. Una conclusione intesa al mero annullamento di una sentenza è ammissibile solo a titolo eccezionale, ove in caso di accoglimento dell'appello l'autorità di ricorso non possa statuire, o perché in primo grado non sia stata giudicata una parte essenziale dell'azione (art. 318 cpv. 1 lett. c n. 1 CPC) o perché i fatti debbano essere completati in punti essenziali (art. 318 cpv. 1 lett. c n. 2 CPC; RtiD I-2014 pag. 806 consid. 3a). A estremi in tal senso il memoriale degli appellanti nemmeno accenna.</w:t>
      </w:r>
    </w:p>
    <w:p>
      <w:r>
        <w:t>4.Nella sentenza impugnata il Pretore, accertata la tempestività dell'azione e la legittimazione attiva degli attori, ha constatato che litigiosa nella fattispecie è la questione di sapere se la locazione di appartamenti per breve durata attuata tramite piattafor­me internet sia compatibile con lo scopo e le norme per l'amministrazione e l'uso del Condominio C____ oppure se ciò comporti un cambio d'utilizzo o di destinazione della comproprietà. Richiamati i principi enunciati in DTF 145 III 400, egli ha ritenuto  in sintesi  che simile tipologia di locazione rientri nel concetto di abitazione previsto dal regolamento per l'amministrazione e l'uso della proprietà per piani, onde la legittimità della risoluzione adottata all'assemblea generale ordinaria il 29 maggio 2021. Ha quindi respinto la petizione.</w:t>
      </w:r>
    </w:p>
    <w:p>
      <w:r>
        <w:t>5.Nelcasospecifico non è contestato che secondo il regolamento per l'uso e l'amministrazione la proprietà per piani ha scopo abi-tativo (doc. F, art. 6.1). Una locazione delle unità non è esclusa, fermo restando che l'uso di locali a scopi professionali è permes­so solo ove non si verifichino conseguenze negative per i vicini (doc. F, art. 6.3 e 6.4). Non è controverso nemmeno che due o tre comproprietari propongano la locazione a breve termine delle loro unità d'abitazione tramite piattaformeinternetcomeAirbnb (doc. C).Controversa è, nella fattispecie,la compatibilità di tale offerta con la destinazione del­la proprietà per pianiPrati di C_____.</w:t>
      </w:r>
    </w:p>
    <w:p>
      <w:r>
        <w:t>Per questi motivi,</w:t>
      </w:r>
    </w:p>
    <w:p>
      <w:r>
        <w:t> avv. PA1, L______;</w:t>
      </w:r>
    </w:p>
    <w:p>
      <w:r>
        <w:t> avv. PA2, L______.</w:t>
      </w:r>
    </w:p>
    <w:p>
      <w:r>
        <w:t>Per la prima Camera civile del Tribunale d'appello</w:t>
      </w:r>
    </w:p>
    <w:p>
      <w:r>
        <w:t>Il presidente                                                          La cancelliera</w:t>
      </w:r>
    </w:p>
    <w:p>
      <w:r>
        <w:t>Rimedi giuridici</w:t>
      </w:r>
    </w:p>
    <w:p>
      <w:r>
        <w:t>Nelle cause senza carattere pecuniario il ricorso in materia civile al Tribunale federale, 1000 Losanna 14, è ammissibile contro le decisioni finali, parziali, pregiudiziali e incidentali previste dagli art. 90 a 93 LTF per i motivi enunciati dagli art. 95 a 98 LTF entro 30 giorni dalla notificazione della decisione impugnata. Nelle cause aventi carattere pecuniario invece il ricorso in materia civile è am­missi­bile soltanto se il valore litigioso ammonta ad almeno 30000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