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11.2022.64 vom 19. Mai 2025</w:t>
      </w:r>
    </w:p>
    <w:p>
      <w:r>
        <w:t>TI Tribunale d'appello, 2025-05-19, IT</w:t>
      </w:r>
    </w:p>
    <w:p>
      <w:r>
        <w:rPr>
          <w:b/>
        </w:rPr>
        <w:t xml:space="preserve">Quelle: </w:t>
      </w:r>
      <w:r>
        <w:t>https://mcp.opencaselaw.ch/entscheid/ti_gerichte_11.2022.64</w:t>
      </w:r>
    </w:p>
    <w:p>
      <w:r>
        <w:t>FR: TI_GERICHTE 11.2022.64 du 19 mai 2025</w:t>
      </w:r>
    </w:p>
    <w:p>
      <w:r>
        <w:t>IT: TI_GERICHTE 11.2022.64 del 19 maggio 2025</w:t>
      </w:r>
    </w:p>
    <w:p>
      <w:pPr>
        <w:pStyle w:val="Heading2"/>
      </w:pPr>
      <w:r>
        <w:t>Erwägungen</w:t>
      </w:r>
    </w:p>
    <w:p>
      <w:r>
        <w:rPr>
          <w:b/>
        </w:rPr>
        <w:t>E. 40</w:t>
      </w:r>
    </w:p>
    <w:p>
      <w:r>
        <w:t>pagine e oltre), compresa la relativa preparazione, almeno un'ora e mezzo per la redazione di lettere e solleciti alla Pretura, almeno 4 ore per la partecipazio­ne alle udienze e almeno 9 ore per i contatti con i clienti pri­ma e durante la procedura. L'importo richiesto è, a loro dire, adeguato anche considerando il valore litigioso stimato su contributi di fr. 1625. mensili per entram­bi i figli relativamente a un periodo di svariati anni di studio.</w:t>
      </w:r>
    </w:p>
    <w:p>
      <w:r>
        <w:t>d)Nella fattispecie gli istanti chiedevano in via cautelare un contributo alimentare di fr. 1625. per ogni figlio dal gennaio del 2020 fino al termine di una formazione adeguata, che sarà verosimilmente raggiunta da AP4 nel settembre del 2023 e da AP2 nell'agosto del 2025. A fronte di una richiesta di fr. 183625. complessivi (fr. 1625. per 45 mesi riguardo a AP4, fr. 1625. per 68 mesi riguardo a AP2), essi hannoottenuto ragione per fr. 90495. (fr. 25200.[fr. 1397. mensili dall'aprile del 2022 al settembre del 2023]per AP4 e fr. 65295. [fr. 1575. mensili dall'aprile all'agosto del 2022 e fr. 1595. mensili dal settembre del 2022 al-l'agosto del 2025] per AP2). Le ripetibili andavano così compensate. Sta di fatto che AO1 non ha impugnato il dispositivo sulle spese giudiziarie e gli appellanti non possono essere posti in condizioni peggiori rispetto a quelle in cui essi si troverebbero se non avessero impugnato la decisione (divieto dellareformatio in peius: DTF 129 III 419 consid. 2.1.1; sentenza del Tribunale federale 5A_164/2024 del26 novembre 2024 consid. 4.3.1), sicché l'indennità di fr. 2300.per ripetibili non può essere ridotta.</w:t>
      </w:r>
    </w:p>
    <w:p>
      <w:r>
        <w:t>e)Rimane il fatto che la protezione giuridica del figlio a carico dei genitori (sopra, lett. a) comprende tutto il necessario per garantire un adeguato patrocinio. E nella fattispecie l'adegua­to patrocinio consiste nella piena retribuzione dell'opera svol­ta dal patrocinatore (DTF 146 III 212 consid. 6.3).Quanto all'onorario di un avvocato chiamato a esercitare il patrocinio in una causa volta alla modifica di una sentenza di divorzio in materia di contributi alimentari, esso va definito secondo il valorelitigioso e non secondo il criterio orario (RtiD II-2008 pag. 619n. 7c consid. 6; I CCA, sentenza inc. 11.2022.12 del 18 settembre 2023, consid. 9c con rinvii). Ora, nelle controversie ordinarie di natura patrimoniale l'art. 11 cpv. 1 del regolamento sulla tariffa per i casi di patrocinio d'ufficio e di</w:t>
      </w:r>
    </w:p>
    <w:p>
      <w:r>
        <w:t>assisten­za giudiziaria e per la fissazione delle ripetibili (RL 178.310) prevede ripetibili calcolate in base ad aliquote secondo il valore litigioso. Se poi il caso è disciplinato dalla procedura sommaria (procedura speciale civile), come in concreto (art. 248 lett. d CPC), le ripetibili sono fissate fra il 20 e il 70% delle ripetibili dovute in una procedu­ra ordinaria di identico valore (art. 11 cpv. 2 lett. b del regolamento).</w:t>
      </w:r>
    </w:p>
    <w:p>
      <w:r>
        <w:t>In concreto, trattandosi nel complesso di una causa di media difficoltà, la retribuzione può essere definita applicandoun'aliquota media del 7% (valore litigioso compreso tra fr. 100000.e fr. 500000. e del 45% per la natura cautela­re del procedimento). Ne risulta una retribuzione di fr. 5785., cui vanno aggiunte le spese fisse di fr. 500. (art. 6 cpv. 1 del regolamen­to) e l'IVA del 7.7%, per un totale di fr. 6770. (arrotondati). Dedotto l'importo riconosciuto dal Pretore a titolo di ripetibili (fr. 2300.: sopra, consid. 9d) e aggiungendo le spese processuali di fr. 100. (sotto, consid. 10), AO1 va tenuto così a corrispondere ai figli una provvigio­nead litemfr. 4570. per la procedura cautelare, suddivisa in rate mensili come chiedono gli appellanti. Tale importo appa­re del resto sostenibile, a un sommario esame, considerato che dal settembre del 2023 (sopra, consid. 9d) AO1 è sgravato dal mantenimento di AP4.</w:t>
      </w:r>
    </w:p>
    <w:p>
      <w:r>
        <w:t>10.Le spese del giudizio odierno seguirebbero la vicendevole soccombenza (art. 106 cpv. 2 CPC). I figli ottengono un leggero aumento del contributo alimentare e un importo a titolo di provvigioneal litem, tuttavia non nella misura pretesa. Ciò imporrebbe di suddividere le spese secondo il grado di reciproca soccombenza. AO1 tuttavia non ha presentato osservazioni all'appello e non può essere condannato al pagamento di spese né alla rifusione di ripetibili (DTF 139 III 38 consid. 5 in fine).In condizioni siffatte conviene limitarsi a riscuotere la quota di oneri processuali a carico degli appellanti.</w:t>
      </w:r>
    </w:p>
    <w:p>
      <w:r>
        <w:t>L'esito del presente giudizio impone di modificare anche la suddivisione delle spese processuali di primo grado che, tenuto conto del grado di reciproca soccombenza (sopra, consid. 9d), vanno suddivise a metà, mentre riguardo alle ripetibili di prima sede già si è detto (sopra, consid. 9d).</w:t>
      </w:r>
    </w:p>
    <w:p>
      <w:r>
        <w:t>11.Per quel che concerne la richiesta di gratuito patrocinio formulata dagli appellanti qualora non sia ammessa una provvigionead litemˮ, il Pretore aggiunto ha condannato AO1  come si è visto  a versare una provvigione difr. 3317. per la procedura di appello a fronte dei fr. 5000. chiesti dagli interessati. Questi ultimi non pretendono che l'indennità di fr. 3317. sia insufficiente per garantire un'adeguata rappresentanza in appello. Ciò non lascia spazio al gratuito patrocinio.</w:t>
      </w:r>
    </w:p>
    <w:p>
      <w:r>
        <w:t>12.Circa i rimedi esperibili sul piano federale contro la presente sentenza (art. 112 cpv. 1 lett. d LTF), il valore litigioso raggiunge la soglia di 30000. ai fini dell'art. 74 cpv. 1 lett. b LTF (sopra, consid. 1), fermo restando che contro decisioni in materia di misure cautelari i ricorrenti possono far valere soltanto la violazione di diritti costituzionali (art. 98 LTF).</w:t>
      </w:r>
    </w:p>
    <w:p>
      <w:r>
        <w:t>Per questi motivi,</w:t>
      </w:r>
    </w:p>
    <w:p>
      <w:r>
        <w:t>decide:I.  L'appello è parzialmente accolto, nel senso che decreto cautelare impugnato è così riformato:</w:t>
      </w:r>
    </w:p>
    <w:p>
      <w:r>
        <w:t> avv. PA1, B______;</w:t>
      </w:r>
    </w:p>
    <w:p>
      <w:r>
        <w:t> AO1, V______ (Ga______).</w:t>
      </w:r>
    </w:p>
    <w:p>
      <w:r>
        <w:t>Per la prima Camera civile del Tribunale d'appello</w:t>
      </w:r>
    </w:p>
    <w:p>
      <w:r>
        <w:t>Il presidente                                                 La cancelliera</w:t>
      </w:r>
    </w:p>
    <w:p>
      <w:r>
        <w:t>Rimedi giuridici</w:t>
      </w:r>
    </w:p>
    <w:p>
      <w:r>
        <w:t>Nelle cause senza carattere pecuniario il ricorso in materia civile al Tribunale federale, 1000 Losanna 14, è ammissibile contro le decisioni finali, parziali, pregiudiziali e incidentali previste dagli art. 90 a 93 LTF per i motivi enunciati dagli art. 95 a 98 LTF entro 30 giorni dalla notificazione della decisione impugnata. Nelle cause aventi carattere pecuniario invece il ricorso in materia civile è am­missi­bile soltanto se il valore litigioso ammonta ad almeno 30000 franchi; quando il valore litigioso non raggiunge tale somma, il ricorso in materia civile è ammissibile se la controversia concerne una questione di diritto di importanza fondamentale (art. 74 LTF). Laddove non sia ammissibile il ricorso in materia civile è dato, entro lo stessotermine, il ricorso sussidiario in materia costituzionale al Tribunale federale per i motivi previsti dall'art. 116LTF (art. 113 LTF). Il termine di ricorso al Tribunale federale è sospeso durante le ferie giudiziarie, ma non nei procedimenti concernenti l'effetto sospensivo né altre misure provvisionali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