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11.2022.169 vom 16. Dezember 2022</w:t>
      </w:r>
    </w:p>
    <w:p>
      <w:r>
        <w:t>TI Tribunale d'appello, 2022-12-16, IT</w:t>
      </w:r>
    </w:p>
    <w:p>
      <w:r>
        <w:rPr>
          <w:b/>
        </w:rPr>
        <w:t xml:space="preserve">Quelle: </w:t>
      </w:r>
      <w:r>
        <w:t>https://mcp.opencaselaw.ch/entscheid/ti_gerichte_11.2022.169</w:t>
      </w:r>
    </w:p>
    <w:p>
      <w:r>
        <w:t>FR: TI_GERICHTE 11.2022.169 du 16 décembre 2022</w:t>
      </w:r>
    </w:p>
    <w:p>
      <w:r>
        <w:t>IT: TI_GERICHTE 11.2022.169 del 16 dicembre 2022</w:t>
      </w:r>
    </w:p>
    <w:p>
      <w:pPr>
        <w:pStyle w:val="Heading2"/>
      </w:pPr>
      <w:r>
        <w:t>Regeste</w:t>
      </w:r>
    </w:p>
    <w:p>
      <w:r>
        <w:t>Azione di mantenimento: provvedimenti cautelari stralcio per ririro del reclamo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ritiro di un reclamo, ovvero la dichiarazione con cui una parte rinuncia unilateralmente alle proprie richieste di giudizio, configura desistenza a norma dell'art. 241 cpv. 1 CPC, indipendente-mente dai motivi che possono avere indotto quella parte a rece-dere dalla lite (sentenza del Tribunale federale 4A_602/2012 e 4A_604/2012 dell'11 marzo 2013 consid. 5.2). Nelle condizioni descritte il giudice prende atto della dichiarazione di ritiro e stralcia la causa dal ruolo (art. 241 cpv. 3 CPC).</w:t>
      </w:r>
    </w:p>
    <w:p>
      <w:r>
        <w:rPr>
          <w:b/>
        </w:rPr>
        <w:t>E. 2</w:t>
      </w:r>
    </w:p>
    <w:p>
      <w:r>
        <w:t>Desistenza equivale a soccombenza, onde l'obbligo per chi ritira un reclamo di assumere – in linea di principio – il pagamento delle spese giudiziarie dovute all'introduzione del suo ricorso (art. 106 cpv. 1 seconda frase CPC). Ciò non lascia spazio a sindacati di equità in materia di oneri processuali. Nella fattispecie la reclamante va tenuta così a farsi carico dei costi dovuti alla procedura di reclamo, limitata all'apertura dell'incarto, agli atti preliminari e allo stralcio del reclamo dal ruolo (art. 21 LTG). Non si pone inoltre il problema di ripetibili, CO 1 e CO 2 non essendo stati chiamati dalla Camera a formulare osservazioni.</w:t>
      </w:r>
    </w:p>
    <w:p>
      <w:r>
        <w:rPr>
          <w:b/>
        </w:rPr>
        <w:t>E. 3</w:t>
      </w:r>
    </w:p>
    <w:p>
      <w:r>
        <w:t>Rimangono le questioni legate alla provvigione ad litem e al gratuito patrocinio davanti a questa Camera, fermo restando che ci si potrebbe chiedere se tali domande non siano state ritirate insieme al reclamo. Sia come sia, per quanto attiene al gratuito patrocinio, a supporre che l'interessata versi in gravi ristrettezze (art. 117 lett. a CPC), per i motivi indicati nel decreto cautelare del 21 novembre 2022 il “reclamo” appariva fin dall'inizio senza possibilità di accoglimento (art. 117 lett. b CPC), per tacere del fatto che, dopo il ritiro del reclamo, l'interessata ha perduto la qualità di parte e il diritto al beneficio si è finanche estinto (sentenza del Tribunale federale 5P.220/2003 del 23 dicembre 2003 consid. 3.1; più recentemente: sentenza 9C_852/2017 del 25 giugno 2018 consid. 3.1 con richiami; RtiD II-2006 pag. 614 in basso con numerosi rinvii). Per quanto attiene alla domanda di provvigione ad litem , basti ricordare che una simile richiesta va sottoposta al giudice di prima istanza, quand'anche la provvigione sia destinata a finanziare spese processuali e di patrocinio in seconda sede (analogamente RtiD II-2019 pag. 64 consid. 1). Anche tale richiesta è dunque destinata all'insuccesso. Per questi motivi, decreta: 1. Si prende atto del ritiro del reclamo. La causa è stralciata dal ruolo per desistenza. 2.   Le spese processuali di fr. 100.– sono poste a carico della reclamante. Non si assegnano ripetibili. 3.   La richiesta di provvigione ad litem è respinta. 4.   Nella misura in cui non è divenuta priva d'interesse, la richiesta di gratuito patrocinio è respinta. 5.   Notificazione: – avv.   ; – avv.   ; – avv.   . Comunicazione alla Pretura del Distretto di Lugano, sezione 6. Per la prima Camera civile del Tribunale d ' appello La giudice presidente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