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11.2022.143 vom 4. Dezember 2023</w:t>
      </w:r>
    </w:p>
    <w:p>
      <w:r>
        <w:t>TI Tribunale d'appello, 2023-12-04, IT</w:t>
      </w:r>
    </w:p>
    <w:p>
      <w:r>
        <w:rPr>
          <w:b/>
        </w:rPr>
        <w:t xml:space="preserve">Quelle: </w:t>
      </w:r>
      <w:r>
        <w:t>https://mcp.opencaselaw.ch/entscheid/ti_gerichte_11.2022.143</w:t>
      </w:r>
    </w:p>
    <w:p>
      <w:r>
        <w:t>FR: TI_GERICHTE 11.2022.143 du 4 décembre 2023</w:t>
      </w:r>
    </w:p>
    <w:p>
      <w:r>
        <w:t>IT: TI_GERICHTE 11.2022.143 del 4 dicembre 2023</w:t>
      </w:r>
    </w:p>
    <w:p>
      <w:pPr>
        <w:pStyle w:val="Heading2"/>
      </w:pPr>
      <w:r>
        <w:t>Erwägungen</w:t>
      </w:r>
    </w:p>
    <w:p>
      <w:r>
        <w:rPr>
          <w:b/>
        </w:rPr>
        <w:t>E. 1</w:t>
      </w:r>
    </w:p>
    <w:p>
      <w:r>
        <w:t>L'accordo sulle conseguenze accessorie del divorzio concluso tra parti il 29 novembre 2023 e omologato con sentenza di medesima data dal Pretore aggiunto della Giurisdizione di Locarno Campagna ha disciplinato in via definitiva i rapporti tra le parti, tra cui anche gli aspetti che erano ancora litigiosi in appello. Ne segue che la sentenza di divorzio, passata in giudicato, rende ormai senza interesse le decisioni impugnate, superate dagli eventi. In tali circostanze gli appelli vanno dichiarati senza oggetto e le cause stralciate dai ruoli (art. 242 CPC).</w:t>
      </w:r>
    </w:p>
    <w:p>
      <w:r>
        <w:rPr>
          <w:b/>
        </w:rPr>
        <w:t>E. 2</w:t>
      </w:r>
    </w:p>
    <w:p>
      <w:r>
        <w:t>Relativamente alle spese giudiziarie, qualora una causa diventi senza oggetto o senza interesse il giudice toglie il procedimento dal ruolo (art. 242 CPC), limitandosi a statuire sulle spese processuali e le ripetibili dello stralcio (art. 107 cpv. 1 lett. e CPC). Nella fattispecie, le spese processuali andrebbero quindi addebitati alle parti “secondo equità”, la legge non prevedendo altro. Anzi, la legge contempla se mai un giudizio di equità in tutte le cause del diritto di famiglia (art. 107 cpv. 1 lett. c CPC). Sennoché le parti si sono accordate nel senso che le spese processuali rimarranno a carico del coniuge che le ha anticipate (cfr. sentenza di divorzio, dispositivo n. 9, pag. 5). Il marito si assume così i costi dovuti alle procedure d'appello – comunque contenuti tenuto altresì conto degli sforzi profusi dalle parti al fine di giungere ad un'intesa – limitati all'apertura degli incarti, agli atti preliminari e allo stralcio degli appelli dal ruolo (art. 21 LTG). Quanto alle ripetibili, non vi è luogo di scostarsi dalla volontà delle parti, che si sono accordate, nel senso di ritenerle compensate ( ibidem ). Per questi motivi, decreta: 1.   L’appello del 29 settembre 2022 di AP 1 è dichiarato senza interesse e la causa è stralciata dal ruolo. 2.   Le spese di tale appello di fr. 300.– sono poste a carico dell'appellante. Le ripetibili sono compensate. 3.   L’appello del 28 luglio 2023 di AP 1 è dichiarato senza interesse e la causa è stralciata dal ruolo. 4.   Le spese di tale appello di fr. 200.– sono poste a carico dell'appellante. Le ripetibili sono compensate. 5.   Notificazione: –    ; –   . Comunicazione alla Pretura della giurisdizione di Locarno Campagna. Per la prima Camera civile del Tribunale d ' appello La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