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11.2021.75 vom 18. Mai 2021</w:t>
      </w:r>
    </w:p>
    <w:p>
      <w:r>
        <w:t>TI Tribunale d'appello, 2021-05-18, IT</w:t>
      </w:r>
    </w:p>
    <w:p>
      <w:r>
        <w:rPr>
          <w:b/>
        </w:rPr>
        <w:t xml:space="preserve">Quelle: </w:t>
      </w:r>
      <w:r>
        <w:t>https://mcp.opencaselaw.ch/entscheid/ti_gerichte_11.2021.75_d20210518</w:t>
      </w:r>
    </w:p>
    <w:p>
      <w:r>
        <w:t>FR: TI_GERICHTE 11.2021.75 du 18 mai 2021</w:t>
      </w:r>
    </w:p>
    <w:p>
      <w:r>
        <w:t>IT: TI_GERICHTE 11.2021.75 del 18 maggio 2021</w:t>
      </w:r>
    </w:p>
    <w:p>
      <w:pPr>
        <w:pStyle w:val="Heading2"/>
      </w:pPr>
      <w:r>
        <w:t>Regeste</w:t>
      </w:r>
    </w:p>
    <w:p>
      <w:r>
        <w:t>Stralcio dell'appello dal ruolo in seguito a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CPC). In concreto non v'è ragione per scostarsi da tale prin­cipio. L'ammontare della tassa di giustizia è adeguatamente ridotto (art. 21 LTG), nondimeno, per tenere conto del fatto che la procedura di appello si conclude senza sentenza. Non si pone inoltre problema di ripetibili, l'appello non avendo formato oggetto di notifica per osservazioni.</w:t>
      </w:r>
    </w:p>
    <w:p>
      <w:r>
        <w:rPr>
          <w:b/>
        </w:rPr>
        <w:t>E. 3</w:t>
      </w:r>
    </w:p>
    <w:p>
      <w:r>
        <w:t>Rimane la questione legata al gratuito patrocinio davanti a questa Camera. A supporre che tale richiesta non sia stata ritirata insieme con l'appello e che l'interessato versi in gravi ristrettezze (art. 117 lett. a CPC), l 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9C_852/2017 del 25 giugno 2018 consid. 3.1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Nella fattispecie AP 1 ha perduto la qualità di parte davanti a questa Camera allorché ha ritirato l'appello, ponendo fine al processo. E quando ha ritirato l'appello egli non fruiva del gratuito patrocinio. In condizioni del genere è venuto meno un suo interesse a ottenere una decisione in proposito. Per questi motivi,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