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11.2021.43 vom 9. März 2022</w:t>
      </w:r>
    </w:p>
    <w:p>
      <w:r>
        <w:t>TI Tribunale d'appello, 2022-03-09, IT</w:t>
      </w:r>
    </w:p>
    <w:p>
      <w:r>
        <w:rPr>
          <w:b/>
        </w:rPr>
        <w:t xml:space="preserve">Quelle: </w:t>
      </w:r>
      <w:r>
        <w:t>https://mcp.opencaselaw.ch/entscheid/ti_gerichte_11.2021.43</w:t>
      </w:r>
    </w:p>
    <w:p>
      <w:r>
        <w:t>FR: TI_GERICHTE 11.2021.43 du 9 mars 2022</w:t>
      </w:r>
    </w:p>
    <w:p>
      <w:r>
        <w:t>IT: TI_GERICHTE 11.2021.43 del 9 marzo 2022</w:t>
      </w:r>
    </w:p>
    <w:p>
      <w:pPr>
        <w:pStyle w:val="Heading2"/>
      </w:pPr>
      <w:r>
        <w:t>Regeste</w:t>
      </w:r>
    </w:p>
    <w:p>
      <w:r>
        <w:t>Proprietà per piani: nullità o annullamento di risoluzione assembleare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000.– ai fini dell'art. 74 cpv. 1 lett. b LTF (sopra, consid. 1). Per questi motivi, decide: 1.   Nella misura in cui è ricevibile, l'appello è respinto e la sentenza impugnata è confermata. 2.   Le spese processuali di fr. 3000 .– sono poste a carico dell'appellante, che rifonderà alla Comunione dei comproprietari della AO 1 fr. 4000.– per ripetibili. 3.   Notificazione a: – avv.   ; – avv.   . Comunicazione alla Pretura del Distretto di Lugano, sezione 3. Per la prima Camera civile del Tribunale d ' appello Il presidente         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