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11.2021.172 vom 24. Dezember 2020</w:t>
      </w:r>
    </w:p>
    <w:p>
      <w:r>
        <w:t>TI Tribunale d'appello, 2020-12-24, IT</w:t>
      </w:r>
    </w:p>
    <w:p>
      <w:r>
        <w:rPr>
          <w:b/>
        </w:rPr>
        <w:t xml:space="preserve">Quelle: </w:t>
      </w:r>
      <w:r>
        <w:t>https://mcp.opencaselaw.ch/entscheid/ti_gerichte_11.2021.172</w:t>
      </w:r>
    </w:p>
    <w:p>
      <w:r>
        <w:t>FR: TI_GERICHTE 11.2021.172 du 24 décembre 2020</w:t>
      </w:r>
    </w:p>
    <w:p>
      <w:r>
        <w:t>IT: TI_GERICHTE 11.2021.172 del 24 dicembre 2020</w:t>
      </w:r>
    </w:p>
    <w:p>
      <w:pPr>
        <w:pStyle w:val="Heading2"/>
      </w:pPr>
      <w:r>
        <w:t>Erwägungen</w:t>
      </w:r>
    </w:p>
    <w:p>
      <w:r>
        <w:rPr>
          <w:b/>
        </w:rPr>
        <w:t>E. 000</w:t>
      </w:r>
    </w:p>
    <w:p>
      <w:r>
        <w:t>“secondo l'ultima conclusione riconosciuta nella decisione” impugnata (art. 308 cpv. 2 CPC). In concreto tale presupposto è dato, ove appena si pensi all'entità del contributo alimentare in discussione dinanzi al Pretore. Quanto alla tempestività del rimedio giuridico, il decreto cautelare impugnato è stato recapitato al patrocinatore dell'istante il 10 dicembre 2021 (tracciamento dell'invio 98.__________, agli atti). Inoltrato il 20 dicembre 2021 ( timbro postale sulla busta d'invio), ultimo giorno utile, l'appello in esame è pertanto ricevibile.</w:t>
      </w:r>
    </w:p>
    <w:p>
      <w:r>
        <w:rPr>
          <w:b/>
        </w:rPr>
        <w:t>E. 2</w:t>
      </w:r>
    </w:p>
    <w:p>
      <w:r>
        <w:t>Alle sue osservazioni all'appello AO 1 acclude una “ visu­ra storica per soggetto” del</w:t>
      </w:r>
    </w:p>
    <w:p>
      <w:r>
        <w:rPr>
          <w:b/>
        </w:rPr>
        <w:t>E. 7</w:t>
      </w:r>
    </w:p>
    <w:p>
      <w:r>
        <w:t>Visto quanto precede, nessuna delle tre motivazioni addotte dal Pretore per respingere l'istanza di modifica di AP 1 resiste alla critica. In accoglimento dell'appello, che è di per sé un rimedio giuridico riformatorio, questa Camera potrebbe quindi giudicare essa medesima, l'istruttoria essendo completa (art. 318 cpv. 1 lett. b CPC). Si tratterebbe nondimeno di statuire per la prima volta sull'azione di modifica, che il Pretore non ha esaminato in primo luogo perché mancava a suo avviso una pretesa quantificata, in secondo luogo perché il pensionamento anticipato era già stato considerato a tutela dell'unione coniugale e in terzo luogo perché l'istante possiede una cospicua sostanza. Ciò significherebbe sottrarre alle parti un grado di giurisdizione munito di pieno potere cognitivo non solo nell'accertamento dei fatti, ma anche nell'applicazione del diritto, giacché contro decisioni in materia di provvedimenti cautelari un ricorren­te può censurare davanti al Tribunale federale soltanto la violazione di diritti costituzionali (art. 98 LTF; DTF 138 III 555). Nelle condizioni illustrate non rimane in definitiva che annullare il decreto cautelare impugnato e rinviare gli atti al Pretore a norma dell'art. 318 cpv. 1 lett. c n. 1 CPC perché statuisca nel senso dei considerandi, dopo avere conferito alle parti la possibilità di esprimersi sul fabbisogno minimo dell'istante dopo il pensionamento anticipato.</w:t>
      </w:r>
    </w:p>
    <w:p>
      <w:r>
        <w:rPr>
          <w:b/>
        </w:rPr>
        <w:t>E. 8</w:t>
      </w:r>
    </w:p>
    <w:p>
      <w:r>
        <w:t>Le spese della decisione odierna seguono la vicendevole soccombenza (art. 106 cpv. 2 CPC). L'appellante ottiene l'annullamento della decisione impugnata e il rinvio degli atti al Pretore per nuovo giudizio, ma non la riforma della sentenza postulata nel merito. AO 1 ha proposto, da parte sua, di respingere l'appello e solo in subordine ha proposto il rinvio degli atti al Pretore. Si giustifica così di suddividere gli oneri processuali a metà e di compensare le ripetibili, non potendosi pronosticare quale sarà l'esito della nuova decisione che emanerà il Pretore (analogamente: DTF 139 III 351 consid. 6). La tassa di giustizia va adeguatamente ridotta, l'attuale procedura non terminando con una sentenza di merito (art. 21 LTG). Sulle spese e le ripetibili di primo grado il Pretore giudicherà al momento in cui emanerà la nuova decisione.</w:t>
      </w:r>
    </w:p>
    <w:p>
      <w:r>
        <w:rPr>
          <w:b/>
        </w:rPr>
        <w:t>E. 9</w:t>
      </w:r>
    </w:p>
    <w:p>
      <w:r>
        <w:t>Quanto ai rimedi esperibili contro la presente sentenza sul piano federale (art. 112 cpv. 1 lett. d LTF), il valore litigioso raggiunge verosimilmente anche la soglia di fr. 30 000.– ai fini dell'art. 74 cpv. 1 lett. b LTF. T rattandosi in concreto di un decreto cautela-re, tuttavia, a livello federale il ricorrente può far valere ‒ come detto (sopra, consid. 7) ‒ soltanto la violazione di diritti costituzionali. Per questi motivi, decide: 1.   L'appello è parzialmente accolto, nel senso che il decreto cautelare impugnato è annullato e gli atti sono rinviati al Pretore per nuovo giudizio dopo avere conferito alle parti la possibilità di esprimersi in conformità ai considerandi. 2.   Le spese processuali, ridotte a fr. 1500.–, da anticipare dall'appellante, sono poste a carico delle parti in ragione di metà ciascuno, compensate le ripetibili. 3.   Notificazione a: – avv.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29</w:t>
      </w:r>
    </w:p>
    <w:p>
      <w:r>
        <w:t>dicembre 2021 consid. 4). Solo se le risorse risultano insufficientiil mantenimento va assicurato anche dalla sostanza, nel qual caso il debitore alimentare ha il diritto di conservare solo l'equivalente del proprio minimo esistenziale secondo il diritto esecutivo (DTF 147 III 281 consid. 7.2 144 III 505 consid. 6.4; I CCA, sentenza inc. 11.2020.108 del 13 giugno 2022consid. 9a con rinvio).Anche su questo punto il Pretore non poteva respingere l'istanza con la semplice motivazione in base alla quale l'stante possiede sostanza per fr. 500000.‒.</w:t>
      </w:r>
    </w:p>
    <w:p>
      <w:r>
        <w:t>7.Visto quanto precede, nessuna delle tre motivazioni addotte dal Pretore per respingere l'istanza di modifica di AP 1 resiste alla critica. In accoglimento dell'appello, che è di per sé un rimedio giuridico riformatorio, questa Camera potrebbe quindi giudicare essa medesima, l'istruttoria essendo completa (art. 318 cpv. 1 lett. b CPC). Si tratterebbe nondimeno di statuire per la prima volta sull'azione di modifica, che il Pretore non ha esaminato in primo luogo perché mancava a suo avviso una pretesa quantificata, in secondo luogo perché il pensionamento anticipato era già stato considerato a tutela dell'unione coniugale e in terzo luogo perché l'istante possiede una cospicua sostanza. Ciò significherebbe sottrarre alle parti un grado di giurisdizione munito di pieno potere cognitivo non solo nell'accertamento dei fatti, ma anche nell'applicazione del diritto, giacché contro decisioni in materia di provvedimenti cautelari un ricorren­te può censurare davanti al Tribunale federale soltanto la violazione di diritti costituzionali (art. 98 LTF; DTF 138 III 555). Nelle condizioni illustrate non rimane in definitiva che annullare il decreto cautelare impugnato e rinviare gli atti al Pretore a norma dell'art. 318 cpv. 1 lett. c n. 1 CPC perché statuisca nel senso dei considerandi, dopo avere conferito alle parti la possibilità di esprimersi sul fabbisogno minimo dell'istante dopo il pensionamento anticipato.</w:t>
      </w:r>
    </w:p>
    <w:p>
      <w:r>
        <w:t>8.Le spese della decisione odierna seguono la vicendevole soccombenza (art. 106 cpv. 2 CPC). L'appellante ottiene l'annullamento della decisione impugnata e il rinvio degli atti al Pretore per nuovo giudizio, ma non la riforma della sentenza postulata nel merito. AO 1 ha proposto, da parte sua, di respingere l'appello e solo in subordine ha proposto il rinvio degli atti al Pretore. Si giustifica così di suddividere gli oneri processuali a metà e di compensare le ripetibili, non potendosi pronosticare quale sarà l'esito della nuova decisione che emanerà il Pretore (analogamente: DTF 139 III 351 consid. 6).La tassa di giustizia va adeguatamente ridotta, l'attuale procedura non terminando con una sentenza di merito (art. 21 LTG). Sulle spese e le ripetibili di primo grado il Pretore giudicherà al momento in cui emanerà la nuova decisione.</w:t>
      </w:r>
    </w:p>
    <w:p>
      <w:r>
        <w:t>9.Quanto ai rimedi esperibili contro la presente sentenza sul piano federale (art. 112 cpv. 1 lett. d LTF), il valore litigioso raggiunge verosimilmente anche la soglia di fr. 30000. ai fini dell'art. 74 cpv. 1 lett. b LTF. Trattandosi in concreto di un decreto cautela-re, tuttavia, a livello federale il ricorrente può far valere ‒ come detto (sopra, consid. 7) ‒ soltanto la violazione di diritti costituzionali.</w:t>
      </w:r>
    </w:p>
    <w:p>
      <w:r>
        <w:t>Per questi motivi,</w:t>
      </w:r>
    </w:p>
    <w:p>
      <w:r>
        <w:t>decide:1.   L'appello è parzialmente accolto, nel senso che il decreto cautelare impugnato è annullato e gli atti sono rinviati al Pretore per nuovo giudizio dopo avere conferito alle parti la possibilità di esprimersi in conformità ai considerandi.</w:t>
      </w:r>
    </w:p>
    <w:p>
      <w:r>
        <w:t>2.   Le spese processuali, ridotte a fr. 1500., da anticipare dall'appellante, sono poste a carico delle parti in ragione di metà ciascuno, compensate le ripetibili.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