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11.2021.171 vom 4. Mai 2016</w:t>
      </w:r>
    </w:p>
    <w:p>
      <w:r>
        <w:t>TI Tribunale d'appello, 2016-05-04, IT</w:t>
      </w:r>
    </w:p>
    <w:p>
      <w:r>
        <w:rPr>
          <w:b/>
        </w:rPr>
        <w:t xml:space="preserve">Quelle: </w:t>
      </w:r>
      <w:r>
        <w:t>https://mcp.opencaselaw.ch/entscheid/ti_gerichte_11.2021.171_d20160504</w:t>
      </w:r>
    </w:p>
    <w:p>
      <w:r>
        <w:t>FR: TI_GERICHTE 11.2021.171 du 4 mai 2016</w:t>
      </w:r>
    </w:p>
    <w:p>
      <w:r>
        <w:t>IT: TI_GERICHTE 11.2021.171 del 4 maggio 2016</w:t>
      </w:r>
    </w:p>
    <w:p>
      <w:pPr>
        <w:pStyle w:val="Heading2"/>
      </w:pPr>
      <w:r>
        <w:t>Regeste</w:t>
      </w:r>
    </w:p>
    <w:p>
      <w:r>
        <w:t>Reclamo in materia di spese giudiziarie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Al reclamo RE 1 acclude varia documentazione. In una procedura di reclamo, tuttavia, la produzione di nuovi mezzi di prova non è ammessa (art. 326 cpv. 1 CPC) e tale precetto si applica anche alle procedure governate dal principio inquisitorio illimitato (I CCA, sentenza inc. 11.2022.7 dell'8 febbraio 2022 consid. 2 con rinvio). Nella misura in cui non figurano già agli atti, i documenti in questione non sono pertanto ricevibili ai fini del giudizio. Analogamente irricevibile è la richiesta di “intervenire per quanto riguarda il ravvedimento del contributo di mantenimento almeno in via provvisoria”, in sede di reclamo non essen­do lecita la formulazione di domande non sottoposte previamente al primo giudice (sentenza del Tribunale federale 5A_405/2011 del 27 settembre 2011 consid. 4.5.2 con rinvii, non pubblicato in DTF 137 III 470).</w:t>
      </w:r>
    </w:p>
    <w:p>
      <w:r>
        <w:rPr>
          <w:b/>
        </w:rPr>
        <w:t>E. 3</w:t>
      </w:r>
    </w:p>
    <w:p>
      <w:r>
        <w:t>N el decreto di stralcio impugnato il Pretore aggiunto ha ricordato anzitutto che, per principio, la desistenza equivale a soccombenza e comporta l'addebito delle spese alla parte che recede dalla lite. Richiamata la possibilità di ripartire tali oneri secondo equità nelle cause del diritto di famiglia o qualora altre circostanze particolari facciano apparire iniqua una ripartizione secondo l'esito della procedura, nondimeno, egli ha ritenuto giustificato porre le spese processuali di fr. 1600 .– (compresi i costi per l'ascolto della figlia, di fr. 780.–) a carico delle parti in ragione di metà ciascuno .</w:t>
      </w:r>
    </w:p>
    <w:p>
      <w:r>
        <w:rPr>
          <w:b/>
        </w:rPr>
        <w:t>E. 4</w:t>
      </w:r>
    </w:p>
    <w:p>
      <w:r>
        <w:t>La reclamante fa valere di non essere in grado di pagare le spe­se processuali di fr. 800 .–, poiché dal 13 gennaio 2022 essa non percepisce più alcuna indennità di perdita di guadagno e fa capo alla pubblica assistenza. Pur riconoscendo di avere dichiarato all'udienza del 18 ottobre 2021 di essere disposta a partecipare per metà alla copertura delle spese, essa rileva di non ave­re “mai pensato che il costo totale sarebbe stato di fr. 1600.–”. A suo parere le spese processuali in questione , riconducibili esclusivamente alla richiesta di modificare l'affidamento della figlia for-mulata da CO 1, vanno poste interamente a c arico di quest'ultimo.</w:t>
      </w:r>
    </w:p>
    <w:p>
      <w:r>
        <w:rPr>
          <w:b/>
        </w:rPr>
        <w:t>E. 5</w:t>
      </w:r>
    </w:p>
    <w:p>
      <w:r>
        <w:t>L e mere ristrettezze economiche di una parte non giustificano, per sé sole, di porre le spese processuali a carico della controparte né bastano per ottenere l'esonero da qualsiasi addebito (sentenza del Tribunale federale 5A_401/2021 del 3 marzo 2022 consid. 4.2; I CCA, sentenza inc. 11.2018.13 del 9 febbraio 2018). Premesso ciò, le spese giudiziarie (cioè le spese processuali e le spese ripetibili: art. 95 cpv. 1 CPC) sono addebitate, di regola, alla parte soccombente (art. 106 cpv. 1 prima frase CPC). In caso di non entrata nel merito o di desistenza si considera soccombente l'attore (art. 106 cpv. 1 seconda frase CPC). Il principio della soccombenza si fonda sull'idea che le spese giudiziarie devono essere sopportate da chi le ha causate (cfr. DTF 145 III 153 consid. 3.3.1 riferita a una parte che ritira l'appello). a) Nella fattispecie è pacifico che il 1° dicembre 2021 CO 1 ha dichiarato di ritirare la petizione. Ora, la dichiarazio­ne unilaterale con cui una parte comunica di rinunciare alle proprie richieste di giudizio configura desistenza a norma del­ l'art. 241 CPC (sentenza del Tribunale federale 4A_602/2012 dell'11 marzo 2013 consid. 5.2, in: RSPC 2013 pag. 305). E siccome desistenza equivale a soccombenza, in linea di principio l'attore deve assumere le spese giudiziarie da lui causate ( decreto del Tribunale federale 5A_1011/2020 del 4 ottobre 2021 consid. 1 con rinvii). b) È vero che in circostanze particolari il giudice può prescinde­re da una ripartizione delle spese e delle ripetibili secondo la soccombenza e decidere secondo equità (art. 107 CPC). Ma un riparto secondo equità rappresenta pur sempre una deroga all'art. 106 cpv. 1 CPC, sicché va applicato restrittivamente (DTF 143 III 269 consid. 4.2.5) . Come detto, in caso di ritiro del­l'azione le spese sono di regola a carico del­l'attore ( DTF 139 III 360 consid. 3; Tappy in: Commentaire romand, CPC, 2ª edizione, n. 28 ad art. 106 ) . Poco importa il momen­to o il motivo che può avere indotto quest'ultimo a recedere dalla lite. Tutt'al più la desistenza influisce sulla tassa di giustizia, da moderare in base agli atti di procedura compiuti (art. 21 LTG), e sull'indennità per ripetibili (art. 13 cpv. 2 del regolamento sulla tariffa per i casi di patrocinio d'ufficio e di assistenza giudiziaria e per la fissazione delle ripetibili: RL 3.1.1.7.1). La sola circostanza che si tratti di una causa del diritto di famiglia ancora non giustifica invece, contrariamente all'opinione del Pretore aggiunto, che in caso di ritiro dell'azio ­ne si deroghi al principio della soccombenza (I CCA, senten­za inc. 11.2015.86 del 12 settembre 2017 consid. 5 con rinvio). c) Alla luce di quanto precede la desistenza di CO 1 comporta l'obbligo di assumere il pagamento delle spese processuali. Se non che, all'udienza del 18 ottobre 2021 le parti si sono accordate per “demandare l'ascolto di I__________ al fine di determinare la sua volontà, con spese a carico delle parti in ragione di un mezzo ciascuno”. Tale intesa poteva riferirsi solo, in ogni modo, alle spese dell'ascolto e non a quelle dell'intera procedura, ove appena si pensi che l'accordo, verbalizzato dal Pretore aggiunto come “transazione”, non poneva fine alla lite. In tali circostanze nel ripartire tutti gli oneri processuali a metà il Pretore aggiunto ha trasceso l'ampio margine di apprezzamento che gli compete. Ne segue, in definitiva, che l'attore deve assumere l'intero ammontare della tassa di giustizia e la metà dei costi per l'ascolto della figlia. Il reclamo della convenuta merita accoglimento entro tali limiti.</w:t>
      </w:r>
    </w:p>
    <w:p>
      <w:r>
        <w:rPr>
          <w:b/>
        </w:rPr>
        <w:t>E. 6</w:t>
      </w:r>
    </w:p>
    <w:p>
      <w:r>
        <w:t>Le spese del giudizio odierno seguirebbero la vicendevole soccombenza (art. 106 cpv. 2 CPC). I n concreto si giustifica tuttavia di rinunciare – eccezionalmente – a ogni riscossione, le parti non essendo all'origine della decisione impugnata . Quanto all'indennità d'inconvenienza (art. 95 cpv. 3 lett. c CPC), la reclamante non l'ha richiesta (come non l'ha chiesta in prima sede) né tanto meno ha reso verosimile di aver dovuto sostenere costi rilevanti ai fini del processo. Non soccorrono dunque i presupposti per l'assegnazione di un simile indennizzo.</w:t>
      </w:r>
    </w:p>
    <w:p>
      <w:r>
        <w:rPr>
          <w:b/>
        </w:rPr>
        <w:t>E. 7</w:t>
      </w:r>
    </w:p>
    <w:p>
      <w:r>
        <w:t>Per quanto riguarda i rimedi esperibili contro l'attuale decisione sul piano federale (art. 112 cpv. 1 lett. d LTF), il valore litigioso delle spese giudiziarie controverse non raggiunge manifestamente la soglia di fr. 30 000.– sotto il profilo dell'art. 74 cpv. 1 lett. b LTF. Per questi motivi, decide: 1.   Il reclamo è parzialmente accolto, nel senso che il dispositivo n. 2 del decreto di stralcio impugnato è così riformato: Le spese processuali di complessivi fr. 1600.– (compresi i costi per l'ascolto della figlia, di fr. 780.–) sono poste per fr. 1210.– a carico di CO 1 e per i rimanenti fr. 390.– a carico di RE 1. Non si assegnano ripetibili né indennità d'inconvenienza . 2.   Non si riscuotono spese . 3.   Notificazione a: – ; – . Comunicazione alla Pretura del Distretto di Lugano, sezione 6. Per la prima Camera civile del Tribunale d ' appello Il presidente         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