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11.2020.64 vom 29. März 2021</w:t>
      </w:r>
    </w:p>
    <w:p>
      <w:r>
        <w:t>TI Tribunale d'appello, 2021-03-29, IT</w:t>
      </w:r>
    </w:p>
    <w:p>
      <w:r>
        <w:rPr>
          <w:b/>
        </w:rPr>
        <w:t xml:space="preserve">Quelle: </w:t>
      </w:r>
      <w:r>
        <w:t>https://mcp.opencaselaw.ch/entscheid/ti_gerichte_11.2020.64</w:t>
      </w:r>
    </w:p>
    <w:p>
      <w:r>
        <w:t>FR: TI_GERICHTE 11.2020.64 du 29 mars 2021</w:t>
      </w:r>
    </w:p>
    <w:p>
      <w:r>
        <w:t>IT: TI_GERICHTE 11.2020.64 del 29 marzo 2021</w:t>
      </w:r>
    </w:p>
    <w:p>
      <w:pPr>
        <w:pStyle w:val="Heading2"/>
      </w:pPr>
      <w:r>
        <w:t>Regeste</w:t>
      </w:r>
    </w:p>
    <w:p>
      <w:r>
        <w:t>Interpretazione di un termine linguistico usato nel dispositivo di una sentenza della Camera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Oggetto di un'istanza di rettifica può essere unicamente, per sua natura, il dispositivo di una decisione. I considerandi servono per capire se il dispositivo denoti una svista suscettibile di essere rettificata, ma non passano in giudicato, a meno che il dispositivo rinvii esplicitamente ai medesimi ( Bastons Buletti in: CPC, Petit commentaire, Basilea 2021, n. 5 ad art. 334 con riferimenti; Sterchi in: Berner Kommentar, Schweizerische ZPO, vol. I, edizione 2012, n. 5 ad art. 334; Carcagni Roesler in: Baker &amp; M c Kenzie, Schweizerische ZPO, Berna 2010, n. 5 ad art. 334). Nella fattispecie il dispositivo n. II/3.4 della sentenza non rinvia ai considerandi. Nella misura in cui pretende di sostituire il termine “finestre esistenti” con quello di “nuove finestre” nei considerandi 9 e 10 della decisione , l'istante formula pertanto una richiesta irricevibile.</w:t>
      </w:r>
    </w:p>
    <w:p>
      <w:r>
        <w:rPr>
          <w:b/>
        </w:rPr>
        <w:t>E. 3</w:t>
      </w:r>
    </w:p>
    <w:p>
      <w:r>
        <w:t>Riguardo al dispositivo in sé, l'istante non accenna a manifeste sviste di redazione, di battuta, di compu­to o ad altre eventuali inavvertenze di forma. Né essa pretende che l'aggettivo “esistenti” riferito alle finestre sia stato adoperato dalla Camera per disattenzione, per distrazione o per abbaglio, tanto ch'essa medesima adombra meri “ errori di designazioneˮ. Quanto l'impresa chiede è di conseguenza, in realtà, un' interpretazione del termi­ne “finestre esistenti” usato dalla Camera. Da un'allegazione ad ogni modo va subito sgombrato il campo, in particolare laddove l'istante sembra affermare che la sentenza di questa Camera non è conforme alle indicazioni contenute nella sentenza del Tribunale federale 5A_45/2017 del 14 gennaio 2019 in seguito alla quale è stata presa la decisione di appello. Un'interpretazione non è destinata invero – e nemmeno una rettifica, del resto – a ridiscutere il merito della controversia. Tale appannaggio spetta unicamente al Tribunale federale, che la IS 1 ha adito con ricorso in materia civile il 10 giugno 2020 (sopra, lett. B in fine).</w:t>
      </w:r>
    </w:p>
    <w:p>
      <w:r>
        <w:rPr>
          <w:b/>
        </w:rPr>
        <w:t>E. 4</w:t>
      </w:r>
    </w:p>
    <w:p>
      <w:r>
        <w:t>Per quel che attiene all'interpretazione del termine “finestre esistenti” nella facciata est dello stabile in proprietà della convenu­ta, si evince senza equivoco dai considerandi della sentenza emessa da questa Camera che le contestazioni di CO 2 e CO 1 concernono le finestre raffigurate nel piano del 17 luglio 2006 elaborato dall'arch. G__________ __________, oggetto della licenza edilizia rilasciata il 28 febbraio 2007 dall'allora Municipio di __________, finestre che sono contrassegnate con i numeri 1, 5,</w:t>
      </w:r>
    </w:p>
    <w:p>
      <w:r>
        <w:rPr>
          <w:b/>
        </w:rPr>
        <w:t>E. 6</w:t>
      </w:r>
    </w:p>
    <w:p>
      <w:r>
        <w:t>Non si prelevano spese in esito all'odierna decisione. La IS 1 postula la rifusione di ripetibili, ma alla richiesta non può essere dato seguito. Intanto perché l'istanza non è ricevibile nella misu­ra in cui tende alla riformulazione dei considerandi 9 e 10 della sentenza. Inoltre perché il termi­ne “nuo­ve finestre” prospettato dall'istante è meno chiaro di quello usato dalla Camera, mal com­prendendosi quali sarebbero le “nuove finestre” suscettive di apertura o ampliamento. Infine perché l'istanza di rettifica, inutilmente ridondante, si sarebbe potuta limitare a un breve esposto, il quale non avrebbe richiesto apprezzabile dispendio di tempo o di costi. Per questi motivi, decide: 1.   Il dispositivo n. 1/II/3.4 della sentenza emessa da questa Camera l'8 maggio 2020 è interpretato come segue: È vietato alla IS 1 di eseguire nella facciata est dello stabile posto sulla particella n. 68 RFD di __________, sezione di __________, le modifiche colorate in rosso sul piano del 17 luglio 2006 elaborato dall'arch. G__________ __________, ogget­to della licenza edilizia rilasciata il 28 febbraio 2007 dal Municipio di __________, per quanto riguarda le finestre contrassegnate con i numeri 1, 5, 6 e 7 sulla planimetria riprodotta alla lett. B della sentenza inc. 11.2019.56. 2.   Non si riscuotono spese né si assegnano ripetibili. 3.   Notificazione: – avv.   ; – avv.   . Comunicazione: – Pretura del Distretto di Lugano, sezione 2; – Tribunale federale (causa 5A_476/2020). Per la prima Camera civile del Tribunale d ' appello Il presidente                                                          La vicecancelliera Rimedi giuridici Nelle cause senza carattere pecuniario il ricorso in materia civile al Tribunale federale, 1000 Losanna 14, è ammissibile contro le decisioni finali, parziali, pregiudiziali e incidentali previste dagli art. 90 a 93 LTF per i motivi enunciati dagli art. 95 a 98 LTF entro 30 giorni dalla notificazione della decisione impugnata. Nelle cause aventi carattere pecuniario invece il ricorso in materia civile è am­missi­bile soltanto se il valore litigioso ammonta ad almeno 30 000 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