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11.2020.47 vom 25. Mai 2020</w:t>
      </w:r>
    </w:p>
    <w:p>
      <w:r>
        <w:t>TI Tribunale d'appello, 2020-05-25, IT</w:t>
      </w:r>
    </w:p>
    <w:p>
      <w:r>
        <w:rPr>
          <w:b/>
        </w:rPr>
        <w:t xml:space="preserve">Quelle: </w:t>
      </w:r>
      <w:r>
        <w:t>https://mcp.opencaselaw.ch/entscheid/ti_gerichte_11.2020.47_d20200525</w:t>
      </w:r>
    </w:p>
    <w:p>
      <w:r>
        <w:t>FR: TI_GERICHTE 11.2020.47 du 25 mai 2020</w:t>
      </w:r>
    </w:p>
    <w:p>
      <w:r>
        <w:t>IT: TI_GERICHTE 11.2020.47 del 25 maggio 2020</w:t>
      </w:r>
    </w:p>
    <w:p>
      <w:pPr>
        <w:pStyle w:val="Heading2"/>
      </w:pPr>
      <w:r>
        <w:t>Regeste</w:t>
      </w:r>
    </w:p>
    <w:p>
      <w:r>
        <w:t>Eccezione d'arbitrato: potere cognitivo del giudice statale</w:t>
      </w:r>
    </w:p>
    <w:p>
      <w:pPr>
        <w:pStyle w:val="Heading2"/>
      </w:pPr>
      <w:r>
        <w:t>Erwägungen</w:t>
      </w:r>
    </w:p>
    <w:p>
      <w:r>
        <w:rPr>
          <w:b/>
        </w:rPr>
        <w:t>E. 1</w:t>
      </w:r>
    </w:p>
    <w:p>
      <w:r>
        <w:t>La decisione con cui un giudice, dopo avere limitato il procedimento a una singola questione (art. 125 lett. a CPC), statuisce al proposito è “incidentale” nel senso dell'art. 237 cpv. 1 CPC se un diverso giudizio dell'autorità giudiziaria superiore può portare im­mediatamente all'emanazione di una decisione finale e con ciò si può conseguire un importante risparmio di tempo o di spese ( RtiD I-2016 pag. 717 n. 39c consid. 2) . La decisione incidentale emanata nell'ambito di una procedura ordinaria è impugnabile a titolo indipendente (art. 237 cpv. 2 CPC) entro 30 giorni (art. 311 cpv. 1 CPC ; RtiD I-2016 pag. 716 n. 39c consid. 1b ), sempre che, ove si tratti di una controversia patrimoniale, il valore litigio­so raggiungesse fr. 10 000.– secondo l'ultima conclusione riconosciuta nella decisione impugnata (art. 308 cpv. 2 CPC). Nella fattispecie il valore litigioso è sicuramente dato, ove si pensi al­l'ammontare della pretesa avanzata dagli attori (fr. 363 217.80, riservata una maggiorazione della somma). L' accoglimento del- l'eccezione d'arbitrato inoltre mettereb­be subito fine alla causa, con ragguardevole risparmio di tempo e di spese. Quan­to alla tempestività dell'appello, la decisione impugnata è stata notifi-cata al patrocinatore del convenuto il 27 aprile 2020 (traccia-mento dell'invio n. __________, agli atti). Depositato il 25 maggio 2020, l'appel­lo in esame è pertanto ricevibile.</w:t>
      </w:r>
    </w:p>
    <w:p>
      <w:r>
        <w:rPr>
          <w:b/>
        </w:rPr>
        <w:t>E. 2</w:t>
      </w:r>
    </w:p>
    <w:p>
      <w:r>
        <w:t>Il AP 1 è un ente autonomo del diritto civile ecclesiastico dotato di personalità giuridica propria, distinto rispetto alla Parrocchia (RDAT I-2000 pag. 356 n. 8). Secondo l'art. 19 cpv. 1 della legge sulla Chiesa cattolica, del 16 dicembre 2002 (LCC; RL 191.100), sono beni parrocchiali i beni mobili e immobili attualmente intestati al beneficio o alla preben­da parrocchiale o di appartenenza della chiesa parrocchiale, come pu­re i proventi da donazioni, lasciti e liberalità pubbliche o private in favore della Parrocchia e delle sue attività. La diposizione ha inteso riprendere la “soppressione dei Benefici parrocchiali da parte del diritto canonico del 1983” (Messaggio del Consiglio di Stato n. 5159 del 18 settembre 2001 concernente tale legge, ad art. 19). L'art. 24 cpv. 3 LCC prevede così, come nor­ma transitoria, che l'amministrazione di tutti i Benefici parrocchiali è conglobata in quella della Parrocchia entro cinque anni dall'entrata in vigore della legge. Restano tuttavia riservati – fra l'altro – “i diritti dei beni cappellanici e di iuspatronato fino a definizione della loro destinazione da parte dei Patroni e dell'Ordinario” (art. 24 cpv. 3 lett. b LCC). Il convenuto, Beneficio cappellanico (doc. 32 e 33), rientra in tale eccezione. Continua perciò a sussistere come ente autonomo (art. 21 LCC; cfr. Commissione indipendente di ricorso contro le decisioni degli organi parrocchiali, decisione inc. 02/2019 del 28 settembre 2020 consid. 1). È data perciò la sua legittimazione ad appellare.</w:t>
      </w:r>
    </w:p>
    <w:p>
      <w:r>
        <w:rPr>
          <w:b/>
        </w:rPr>
        <w:t>E. 3</w:t>
      </w:r>
    </w:p>
    <w:p>
      <w:r>
        <w:t>Nella sentenza impugnata il Pretore ha rilevato in primo luogo che l'eccezione d'arbitrato è stata sollevata dal Beneficio cappellanico tempestivamente, la comparsa all'udienza di conciliazione non valendo come costituzione in giudizio. Ciò premesso, egli ha ritenuto che nella fattispecie le clausole compromissorie contenute nei rogiti costitutivi dei diritti di superficie e delle servitù di passo si riferisco­no “al­l'interpretazione del presente atto”, rispettivamente “all'interpretazione del presente regolamento”, mentre l'attuale lite riguar­da la validità e le conseguenze del successivo regolamen­to, del 29 gennaio 2009, ed esula perciò dall'applicazio­ne di quelle clausole. Né – ha soggiunto il Pretore – l'odierna controversia riguarda i diritti di superficie come tali. Concerne “la strada di accesso per l'utilizzo della quale ciascun superficiario beneficia di una servitù prediale di passo carrabile che grava il fondo di proprietà del convenuto”. Sapere se gli accordi presi dalle parti nel quadro del regolamen­to del 2009 sulla manutenzione di tale accesso siano validi e quali siano i relativi effetti è una questione che – argomenta il Pretore – esula dalle clausole arbitrali. La finalità del regolamen­to adottato nel 2009 – egli soggiunge – “era sostanzialmente quella di disciplinare le questioni specifiche ai diritti di superficie e non quelle legate alla servitù prediale gravante il tunnel, che invece sarebbero state regolate in un secon­do momento”. Onde, a suo parere, l'infondatezza dell'eccezione sollevata dal AP 1.</w:t>
      </w:r>
    </w:p>
    <w:p>
      <w:r>
        <w:rPr>
          <w:b/>
        </w:rPr>
        <w:t>E. 4</w:t>
      </w:r>
    </w:p>
    <w:p>
      <w:r>
        <w:t>Il convenuto fa valere nell'appello che in concreto la causa non verte – come reputa il Pretore – sulla validità e sulle conseguen­ze del “regolamento per l'uso e la manutenzione del mappale 132 RFD di __________” adottato nel gennaio del 2009, bensì sull'accertamento dei costi inerenti alla manutenzione del manufatto gravato del diritto di passo e sul problema di sapere chi debba assumere tali costi. Per determinare l'estensione di una servitù – prosegue il convenuto – fa stato l'iscrizione nel registro fondiario, sicché occorre riferirsi all'atto costitutivo della medesima, il quale nella fattispecie contempla una clausola compromissoria, mentre nel registro fondiario il successivo regolamento del 2009 è semplicemente menzionato, non avendo carattere costitutivo. Il patto d'arbitrato inserito fra le condizioni generali degli atti costitutivi dei diritti di superficie e delle servitù di passo – allega l'appellante – copre anche litigi legati all'accesso veicolare, e in particolare sulla relativa manutenzione. Nulla muta il rinvio a un successivo regolamento per l'uso e l'amministrazione della via di collegamento prospettato in quegli atti costitutivi. Anzi, assume il convenuto, dato che gli attori sostengono la validità del regolamento del 2009 sulla base di tale disposizione, anche l'interpretazione del medesimo soggiace alla clausola arbitrale. Del resto, esso epiloga, il regolamento del 2009 prevede il foro di __________ unicamente per la modifica del regolamento medesimo, eventualità estranea alla presente causa, mentre tutte le altre questioni che attengono al diritto di passo sono coperte dalle clausole compromissorie.</w:t>
      </w:r>
    </w:p>
    <w:p>
      <w:r>
        <w:rPr>
          <w:b/>
        </w:rPr>
        <w:t>E. 5</w:t>
      </w:r>
    </w:p>
    <w:p>
      <w:r>
        <w:t>Conformemente all'art. 61 CPC se le parti hanno pattuito di sottoporre ad arbitrato (con sede in Svizzera) una controversia compromettibile, il giudice statale adito declina la propria competen­za, eccetto che il convenuto si sia incondizionatamente costituito in giudizio (lett. a) oppure che il patto d'arbitrato risulti manifestamente nullo o inadempibile (lett. b) oppure che il tribunale arbitrale non possa essere costituito per motivi manifestamente imputabili al convenuto nel procedimento arbitrale (lett. c). Il giudice statale verifica con pieno potere cognitivo se un patto d'arbitrato esiste e riguarda una controversia compromettibile. Esamina solo sommariamente, per contro, se tale patto sia nullo o manifestamente inadempibile oppure se il tribunale arbitrale non possa essere costituito per motivi manifestamente imputabili al convenuto nel procedimento arbitrale. Con potere cognitivo meramen­te sommario egli esamina altresì se il patto d'arbitrato copra le pretese litigiose, così come esamina con potere sommario se le disposizioni del patto d'arbitrato siano incomplete, poco chiare o contraddittorie (DTF 140 III 369 consid. 2.2.3 con richiamo a DTF 138 III 684 consid. 3.2 e 3.3; analogamente: sentenza del Tribunale federale 5A_824/2018 del 5 marzo 2019 consid. 3.4). La limitazione del potere cognitivo cui deve attenersi il giudice ordinario a questo stadio del procedimento si giustifica per la circostan­za che più tardi l'autorità statale adita su ricorso contro il lodo arbitrale potrà essere chiamata a giudicare con pieno potere cognitivo se il tribunale arbitrale si sarà dichiarato competente o incompeten­te a ragio­ne o a torto (art. 393 lett. b CPC). Applicando l'art. 61 CPC il giudice statale non deve pregiudicare la futura decisione del tribunale arbitrale. Di conseguenza, nel dubbio egli declina la propria competenza in favore del tribunale arbitrale. In altri termini, sindacando un'eccezione d'arbitrato il giudice ordinario può dichiararsi competente solo se non esiste manifestamente un valido patto d'arbitrato fra le parti. Se un valido patto esiste, egli può accertare la propria competenza solo se il patto d'arbitrato è manifestamente inadempibile o se il tribunale arbitrale non può esse­re costituito per motivi manifestamente imputabili al convenuto nel procedimento arbitrale (DTF 138 III 684 consid. 3.2 e 3.3 con rimandi).</w:t>
      </w:r>
    </w:p>
    <w:p>
      <w:r>
        <w:rPr>
          <w:b/>
        </w:rPr>
        <w:t>E. 6</w:t>
      </w:r>
    </w:p>
    <w:p>
      <w:r>
        <w:t>Nella fattispecie la lite verte sull'addebito di spe­se dovute alla manutenzione di opere necessarie per l'esercizio di una servitù, controversia che è pacificamente compromettibile nel senso del­l'art. 354 CPC. I contratti di costituzione dei diritti di superficie e delle servitù di passo fra il AP 1 e i 12 superficiari prevedono inoltre alla clausola n. 15 un patto d'arbitra­to, alla stessa stregua del regolamento inserito negli atti notarili (sopra, lett. B). E quel patto vincola anche i successori in diritto dei superficiari originali (cfr. DTF 142 III 227 consid. 3.4.3 riguardante una clausola arbitrale contenuta in un regolamento per l'uso e l'amministrazione di una proprietà per piani). È poi fuori dubbio che – come rileva il Pretore – la partecipazione sen-za riserve a un'udienza di conciliazione non raffigura incondizionata costituzione in giudizio nell'accezione dell'art. 61 lett. a CPC ( Stacher in: Brunner/Gasser/Schwander, Schweizerische ZPO, Kommentar, 2ª edizione, n. 17 e 23 ad art . 61 con riferimenti; Göksu in: CPC, Petit commentaire, Basilea 2021, n. 10 ad art. 61). Posto ciò, la questione è di sapere se la pretesa fatta valere in concreto dagli attori dinanzi al giudice statale rientri, a un som-mario esame, nel campo d'applicazione del patto d'arbitrato previsto alla clausola n. 15 degli atti costitutivi dei diritti di superficie e delle servitù di passo, rispettivamente al pun­to 10 del regolamento inserito in quegli atti notarili.</w:t>
      </w:r>
    </w:p>
    <w:p>
      <w:r>
        <w:rPr>
          <w:b/>
        </w:rPr>
        <w:t>E. 7</w:t>
      </w:r>
    </w:p>
    <w:p>
      <w:r>
        <w:t>La clausola n. 15 contenuta negli atti costitutivi dei diritti di superficie e delle servitù di passo, stipulati fra il gennaio del 2000 e il gennaio del 2002, prevede (sopra, lett. B): Controversie tra proprietario del fondo e superficiari relativamente all'interpretazione del presente atto verranno decise definitivamente da un tribunale arbitrale composto da tre membri con sede a __________. La seguente clausola, identica, figura nel regolamento annesso a ogni singolo contratto (punto 10): Controversie tra proprietario del fondo e superficiari relativamente all'interpretazione del presente regolamento verranno decise definitivamente da un tribunale arbitrale composto da tre membri con sede a __________. Gli atti notarili in questione regolano non solo i diritti di superficie per sé stanti e permanenti, ma anche – contrariamente all'opinio­ne del Pretore (sentenza impugnata, consid. 4) – le “spese complessive relative alla manutenzione” del­le “servitù di passo veicolare al livello terra e sotterraneo”, spese che sarebbero andate a carico dei superficiari in ragione di 1 /</w:t>
      </w:r>
    </w:p>
    <w:p>
      <w:r>
        <w:rPr>
          <w:b/>
        </w:rPr>
        <w:t>E. 12</w:t>
      </w:r>
    </w:p>
    <w:p>
      <w:r>
        <w:t>Circa i rimedi giuridici esperibili sul piano federale contro la presente sentenza (art. 112 cpv. 1 lett. d LTF), ai fini dell'art. 74 cpv. 1 lett. b LTF il valore litigioso raggiunge ampiamente anche la so-glia di fr. 30 000.– per un eventuale ricorso in materia civile (sopra, consid. 1). Per questi motivi, decide: I.   L'appello è accolto e la sentenza impugnata è cosi riformata: 1. L'eccezione d'arbitrato è accolta e la petizione è dichiarata irricevibile. 2.   Le spese processuali di complessivi fr. 1500.–, da anticipare dal convenuto, sono poste solidalmente a carico degli attori, che rifonderanno al convenuto, sempre con vincolo di solidarietà, fr. 3500.– complessivi per ripetibili II.   Le spese di appello di fr. 1500.–, da anticipare dall'appellante, sono poste a carico degli attori in solido, i quali rifonderanno all'appellante, sempre con vincolo solidale, fr. 2500.– complessivi per ripetibili. III.   Notificazione: – avv.   ; – avv.   . Comunicazione alla Pretura del Distretto di Lugano, sezione 2.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