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11.2019.49 vom 12. März 2019</w:t>
      </w:r>
    </w:p>
    <w:p>
      <w:r>
        <w:t>TI Tribunale d'appello, 2019-03-12, IT</w:t>
      </w:r>
    </w:p>
    <w:p>
      <w:r>
        <w:rPr>
          <w:b/>
        </w:rPr>
        <w:t xml:space="preserve">Quelle: </w:t>
      </w:r>
      <w:r>
        <w:t>https://mcp.opencaselaw.ch/entscheid/ti_gerichte_11.2019.49_d20190312</w:t>
      </w:r>
    </w:p>
    <w:p>
      <w:r>
        <w:t>FR: TI_GERICHTE 11.2019.49 du 12 mars 2019</w:t>
      </w:r>
    </w:p>
    <w:p>
      <w:r>
        <w:t>IT: TI_GERICHTE 11.2019.49 del 12 marzo 2019</w:t>
      </w:r>
    </w:p>
    <w:p>
      <w:pPr>
        <w:pStyle w:val="Heading2"/>
      </w:pPr>
      <w:r>
        <w:t>Regeste</w:t>
      </w:r>
    </w:p>
    <w:p>
      <w:r>
        <w:t>Divorzio su azione di un coniuge: provvigione ad litem</w:t>
      </w:r>
    </w:p>
    <w:p>
      <w:pPr>
        <w:pStyle w:val="Heading2"/>
      </w:pPr>
      <w:r>
        <w:t>Erwägungen</w:t>
      </w:r>
    </w:p>
    <w:p>
      <w:r>
        <w:rPr>
          <w:b/>
        </w:rPr>
        <w:t>E. 2</w:t>
      </w:r>
    </w:p>
    <w:p>
      <w:r>
        <w:t>Nella fattispecie IS 1 fa valere di non avere redditi né sostanza sufficiente per far fronte alle spese processuali e di patrocinio. Non pretende tuttavia che il marito sia sfornito di disponibilità sotto questo profilo, né risulta che ciò sia il caso già a un sommario esame. Non può dirsi dunque, di primo acchito, che una richiesta di provvigione ad litem appaia destinata sin d'ora all'insuccesso, ossia che l'attore non abbia modo di anticiparle una somma adeguata, la quale andrà poi – di regola – restituita, vista l'impossibilità di computarla in concreto su una spettanza in liquidazione del regime matrimoniale, salvo che al rimborso si oppongano motivi di equità dovuti alla situazione finanziaria dei coniugi (RtiD I-2012 pag. 882 consid. 19b con richiamo). Nelle condizioni descritte non soccorrono così le premesse per accogliere la richiesta di gratuito patrocinio.</w:t>
      </w:r>
    </w:p>
    <w:p>
      <w:r>
        <w:rPr>
          <w:b/>
        </w:rPr>
        <w:t>E. 3</w:t>
      </w:r>
    </w:p>
    <w:p>
      <w:r>
        <w:t>Si ricordi inoltre che una richiesta di provvigione ad litem ha indole cautelare (RtiD I-2006 pag. 669 consid. 6), ma non nel senso dell'art. 276 CPC o dell'art. 104 LTF, bensì di una pretesa fondata sul diritto sostanziale, in particolare sui doveri che discendono dal matrimonio (sentenza del Tribunale federale 5A_239/2017 del 14 settembre 2017, consid. 3.2 con rinvii). Anche se è destinata a finanziare una procedura di ricorso, tale pretesa non trae origine dalla decisione impugnata (sentenza del Tribunale federale 5A_97/2017 del 23 agosto 2017, consid. 12.1 in fine) e va fatta valere perciò davanti al giudice di merito (DTF 143 III 624 consid. 7). Questa Camera ha già avuto modo di rilevare, del resto, che un'istanza di provvigione ad litem va inoltrata al Pretore quand'an­che la prestazione richie­sta sia volta a coprire spese processuali e di patrocinio in appello (sentenza inc. 11.2016.127 del 17 luglio 2018, consid. 14a). Per questi motivi, decide: 1.   La richiesta di gratuito patrocinio è respinta. 2.   Notificazione: – ; – .  . Comunicazione alla Pretura della giurisdizione di Mendrisio Sud. Per la prima Camera civile del Tribunale d ' appello Il presidente                                                          Il vicecancelliere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