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11.2019.32 vom 26. Februar 2019</w:t>
      </w:r>
    </w:p>
    <w:p>
      <w:r>
        <w:t>TI Tribunale d'appello, 2019-02-26, IT</w:t>
      </w:r>
    </w:p>
    <w:p>
      <w:r>
        <w:rPr>
          <w:b/>
        </w:rPr>
        <w:t xml:space="preserve">Quelle: </w:t>
      </w:r>
      <w:r>
        <w:t>https://mcp.opencaselaw.ch/entscheid/ti_gerichte_11.2019.32</w:t>
      </w:r>
    </w:p>
    <w:p>
      <w:r>
        <w:t>FR: TI_GERICHTE 11.2019.32 du 26 février 2019</w:t>
      </w:r>
    </w:p>
    <w:p>
      <w:r>
        <w:t>IT: TI_GERICHTE 11.2019.32 del 26 febbraio 2019</w:t>
      </w:r>
    </w:p>
    <w:p>
      <w:pPr>
        <w:pStyle w:val="Heading2"/>
      </w:pPr>
      <w:r>
        <w:t>Regeste</w:t>
      </w:r>
    </w:p>
    <w:p>
      <w:r>
        <w:t>Ricorso per denegata o ritardata giustizia nei confronti dell'autorità di vigilanza sulle fondazioni</w:t>
      </w:r>
    </w:p>
    <w:p>
      <w:pPr>
        <w:pStyle w:val="Heading2"/>
      </w:pPr>
      <w:r>
        <w:t>Erwägungen</w:t>
      </w:r>
    </w:p>
    <w:p>
      <w:r>
        <w:rPr>
          <w:b/>
        </w:rPr>
        <w:t>E. 000</w:t>
      </w:r>
    </w:p>
    <w:p>
      <w:r>
        <w:t>franchi; quando il valore litigioso non raggiunge tale somma, il ricorso in materia civile è ammissibile se la controversia concerne una questione di diritto di importanza fondamentale (art. 74 LTF). Laddove non sia ammissibile il ricorso in materia civile è dato, entro lo stesso termine, il ricorso sussidiario in materia costituzionale al Tribunale federale per i motivi previsti dall'art. 116 LTF (art. 113 LTF). Il termine di ricorso al Tribunale federale è sospeso durante le ferie giudiziarie, ma non nei procedimenti concernenti l'effetto sospensivo né altre misure provvisionali (art. 46 cpv. 2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