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11.2019.16 vom 19. Januar 2016</w:t>
      </w:r>
    </w:p>
    <w:p>
      <w:r>
        <w:t>TI Tribunale d'appello, 2016-01-19, IT</w:t>
      </w:r>
    </w:p>
    <w:p>
      <w:r>
        <w:rPr>
          <w:b/>
        </w:rPr>
        <w:t xml:space="preserve">Quelle: </w:t>
      </w:r>
      <w:r>
        <w:t>https://mcp.opencaselaw.ch/entscheid/ti_gerichte_11.2019.16</w:t>
      </w:r>
    </w:p>
    <w:p>
      <w:r>
        <w:t>FR: TI_GERICHTE 11.2019.16 du 19 janvier 2016</w:t>
      </w:r>
    </w:p>
    <w:p>
      <w:r>
        <w:t>IT: TI_GERICHTE 11.2019.16 del 19 gennaio 2016</w:t>
      </w:r>
    </w:p>
    <w:p>
      <w:pPr>
        <w:pStyle w:val="Heading2"/>
      </w:pPr>
      <w:r>
        <w:t>Erwägungen</w:t>
      </w:r>
    </w:p>
    <w:p>
      <w:r>
        <w:rPr>
          <w:b/>
        </w:rPr>
        <w:t>E. 000</w:t>
      </w:r>
    </w:p>
    <w:p>
      <w:r>
        <w:t>“secondo l'ultima conclusione riconosciuta nella decisione” impugnata (art. 308 cpv. 2 e 311 CPC). In concreto tale requisito non si pone, litigiose essendo l'autorità parentale e il diritto di visita paterno, controversie indipendenti da questioni di valore (da ultimo: I CCA, sentenza inc. 11.20019.110 del 5 maggio 2020, consid. 1). Quanto alla tempestività del rimedio giuridico, la sentenza impugnata è stata notificata alla patrocinatrice della convenuta il</w:t>
      </w:r>
    </w:p>
    <w:p>
      <w:r>
        <w:rPr>
          <w:b/>
        </w:rPr>
        <w:t>E. 19</w:t>
      </w:r>
    </w:p>
    <w:p>
      <w:r>
        <w:t>gennaio 2016 è parzialmente modificato come segue:</w:t>
      </w:r>
    </w:p>
    <w:p>
      <w:r>
        <w:t>a)I genitori e i figli, se necessario con l'appoggio del curatore, organizza­no i diritti di visita secondo una frequenza indicativa quindicinale e di cinque settimane di vacanza l'anno.</w:t>
      </w:r>
    </w:p>
    <w:p>
      <w:r>
        <w:t>b)I genitori informano sempre preventivamente il curatore circa i diritti di visita concordati.</w:t>
      </w:r>
    </w:p>
    <w:p>
      <w:r>
        <w:t>c)Le precisazioni contenute nel dispositivo n. 3 della decisione emanata il 17 dicembre 2018 del Pretore aggiunto del Distretto di Bellinzona possono essere usate dal curatore come riferimento per dirimere eventuali controversie tra i genitori e/o i figli.</w:t>
      </w:r>
    </w:p>
    <w:p>
      <w:r>
        <w:t>4. Le clausole relative ai compleanni e alle telefonate di cui al dispositivo n. 4 della sentenza di divorzio restano immutate, fermo restando che:</w:t>
      </w:r>
    </w:p>
    <w:p>
      <w:r>
        <w:t>a)I genitori saranno liberi di contattare i figli telefonicamente quando vorranno. In caso di disaccordo (o in ogni caso se il curatore lo ritenesse conforme al bene dei minori) il curatore educativo fisserà date e orari delle telefonate, ritenuto che in tal caso i genitori potranno chiamare unicamente due volte la settimana ciascuno al massimo per la durata di 15 minuti, e ciò unicamente in favore del genitore che a quel momento non ha i figli con sé.</w:t>
      </w:r>
    </w:p>
    <w:p>
      <w:r>
        <w:t>b)Il curatore può modificare tale disciplinamento in ogni tempo e ha i seguenti compiti:</w:t>
      </w:r>
    </w:p>
    <w:p>
      <w:r>
        <w:t>  prosegue l'adeguato accompagnamento educativo avente quale obiettivo il miglioramento della capacità di entrambi i genitori di riconoscere i bisogni dei minori, rispettare tali bisogni e rispondervi adeguatamente, in particolare anteponendo i bisogni dei figli alla conflittualità che sino a dicembre 2019 ancora legava tra loro i genitori.</w:t>
      </w:r>
    </w:p>
    <w:p>
      <w:r>
        <w:t>  In caso di necessità funge da riferimento per i figli (oltre che per i genitori) per riferire dell'andamento dell'accudimento da parte dei due genitori.</w:t>
      </w:r>
    </w:p>
    <w:p>
      <w:r>
        <w:t>  Il curatore presenta il rapporto morale 2020 entro il 31 gennaio 2021, pronunciandosi sull'adeguatezza della presente regolamentazione regolamentazione e/o, se del caso, proponendo puntuali modifiche indicando le relative considerazione dei genitori e dei minori.</w:t>
      </w:r>
    </w:p>
    <w:p>
      <w:r>
        <w:t>Per il resto l'appello è respinto e la decisione impugnata è confermata.</w:t>
      </w:r>
    </w:p>
    <w:p>
      <w:r>
        <w:t>II.   Non si riscuotono spese.</w:t>
      </w:r>
    </w:p>
    <w:p>
      <w:r>
        <w:t>III.   AP 1è ammessa al gratuito patrocinio da parte del­l'avv. PA 1. Lo Stato del Cantone Ticino verserà per lei alla patrocinatrice d'ufficio un'indennità di fr. 3200..</w:t>
      </w:r>
    </w:p>
    <w:p>
      <w:r>
        <w:t>IV.   Notificazione a:</w:t>
      </w:r>
    </w:p>
    <w:p>
      <w:r>
        <w:t> avv.   ;</w:t>
      </w:r>
    </w:p>
    <w:p>
      <w:r>
        <w:t> ;</w:t>
      </w:r>
    </w:p>
    <w:p>
      <w:r>
        <w:t> Stato del Cantone Ticino, Ufficio dell'incasso e delle pene alternative, Bellinzona (in estratto, dopo il passaggio in giudicato: consid. 8 e dispositivo n. III).</w:t>
      </w:r>
    </w:p>
    <w:p>
      <w:r>
        <w:t>Comunicazione a:</w:t>
      </w:r>
    </w:p>
    <w:p>
      <w:r>
        <w:t> Pretura del Distretto di Bellinzona;</w:t>
      </w:r>
    </w:p>
    <w:p>
      <w:r>
        <w:t> ;</w:t>
      </w:r>
    </w:p>
    <w:p>
      <w:r>
        <w:t> Autoritàregionaledi protezione 17, Acquarossa.</w:t>
      </w:r>
    </w:p>
    <w:p>
      <w:r>
        <w:t>Per la prima Camera civile del Tribunale d'appello</w:t>
      </w:r>
    </w:p>
    <w:p>
      <w:r>
        <w:t>Il presidente                                                          La vicecancelliera</w:t>
      </w:r>
    </w:p>
    <w:p>
      <w:r>
        <w:t>Rimedi giuridici</w:t>
      </w:r>
    </w:p>
    <w:p>
      <w:r>
        <w:t>Nelle cause senza carattere pecuniario il ricorso in materia civile al Tribunale federale, 1000 Losanna 14, è ammissibile contro le decisioni finali, parziali, pregiudiziali e incidentali previste dagli art. 90 a 93 LTF per i motivi enunciati dagli art. 95 a 98 LTF entro 30 giorni dalla notificazione della decisione impugnata. Nelle cause aventi carattere pecuniario invece il ricorso in materia civile è am­missi­bile soltanto se il valore litigioso ammonta ad almeno 30000 franchi; quando il valore litigioso non raggiunge tale somma, il ricorso in materia civile è ammissibile se la controversia concerne una questione di diritto di importanza fondamentale (art. 74 LTF). Laddove non sia ammissibile il ricorso in materia civile è dato, entro lo stessotermine, il ricorso sussidiario in materia costituzionale al Tribunale federale per i motivi previsti dall'art. 116LTF (art. 113 LTF). Il termine di ricorso al Tribunale federale è sospeso durante le ferie giudiziarie, ma non nei procedimenti concernenti l'effetto sospensivo né altre misure provvisionali (art. 46 cpv. 2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