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11.2019.131 vom 10. Februar 2020</w:t>
      </w:r>
    </w:p>
    <w:p>
      <w:r>
        <w:t>TI Tribunale d'appello, 2020-02-10, IT</w:t>
      </w:r>
    </w:p>
    <w:p>
      <w:r>
        <w:rPr>
          <w:b/>
        </w:rPr>
        <w:t xml:space="preserve">Quelle: </w:t>
      </w:r>
      <w:r>
        <w:t>https://mcp.opencaselaw.ch/entscheid/ti_gerichte_11.2019.131</w:t>
      </w:r>
    </w:p>
    <w:p>
      <w:r>
        <w:t>FR: TI_GERICHTE 11.2019.131 du 10 février 2020</w:t>
      </w:r>
    </w:p>
    <w:p>
      <w:r>
        <w:t>IT: TI_GERICHTE 11.2019.131 del 10 febbraio 2020</w:t>
      </w:r>
    </w:p>
    <w:p>
      <w:pPr>
        <w:pStyle w:val="Heading2"/>
      </w:pPr>
      <w:r>
        <w:t>Regeste</w:t>
      </w:r>
    </w:p>
    <w:p>
      <w:r>
        <w:t>Comproprietà immobiliare: richiesta al giudice di atti di amministrazione necessari</w:t>
      </w:r>
    </w:p>
    <w:p>
      <w:pPr>
        <w:pStyle w:val="Heading2"/>
      </w:pPr>
      <w:r>
        <w:t>Erwägungen</w:t>
      </w:r>
    </w:p>
    <w:p>
      <w:r>
        <w:rPr>
          <w:b/>
        </w:rPr>
        <w:t>E. 000</w:t>
      </w:r>
    </w:p>
    <w:p>
      <w:r>
        <w:t>(art. 308 cpv. 2 CPC). Nella fattispecie il Pretore ha definito il valore litigioso “superiore a fr. 30 000.–” (sentenza impugnata, pag. 1), ciò che le parti non discutono e che appare senz'altro verosimile. Quanto alla tempestività del­l'appello, la decisione del Pretore è giunta alla convenuta l'11 novembre 2019 (attestazione postale agli atti). Introdotto il 14 novembre successivo (data del timbro postale sulla busta d'invio), l'appello in rassegna è pertanto ricevibile.</w:t>
      </w:r>
    </w:p>
    <w:p>
      <w:r>
        <w:rPr>
          <w:b/>
        </w:rPr>
        <w:t>E. 2</w:t>
      </w:r>
    </w:p>
    <w:p>
      <w:r>
        <w:t>Il Pretore ha ricordato nella sentenza impugnata che gli atti di amministrazione più importanti relativi a una comproprietà, in particolare la stipulazione o lo scioglimento di contratti di locazione, devono essere decisi a una maggioranza di tutti i comproprie tari che rappresenti in pari tempo la maggior parte della cosa (art. 647 b cpv. 1 CC). Qualora tale maggioranza non possa essere raggiunta ogni comproprietario può chiedere e, se occor­re, far ordinare dal giudice almeno l'esecuzione degli atti d'amministrazione necessari per conservare il valore della cosa e mantenerla idonea all’uso (art. 647 cpv. 2 n. 1 CC). Nella fattispecie – ha continuato il Pretore – “è sicuramente nell'interesse dei comproprietari” disdire il noto contratto di locazione per mora del conduttore, “in modo da assicurare l'esistenza dell'immobile stesso con l'ingresso delle pigioni”. Che poi siano o non siano dati i presupposti per una tale disdetta – egli ha soggiunto – è una questione che esula dalla procedura in esame, come esula dalla procedura in esame vagliare i rapporti interni fra i comproprietari. Onde, per finire, l'accoglimento dell'istanza e l'autorizzazione ad AO 1 di rescindere il contratto di locazione con la __________ di __________ R__________.</w:t>
      </w:r>
    </w:p>
    <w:p>
      <w:r>
        <w:rPr>
          <w:b/>
        </w:rPr>
        <w:t>E. 3</w:t>
      </w:r>
    </w:p>
    <w:p>
      <w:r>
        <w:t>L'appellante rimprovera ad AO 1 di avere “operato ingenti prelevamenti dal conto affitti” della comproprietà senza alcuna giustificazio­ne. “Di fronte a un simile agire, che ha prosciugato il conto bancario rischiando di compromettere la possibilità di pagare gli interessi ipotecari e le spese correnti” dell'immobile essa dichiara di ave­re invitato il conduttore a non versare i canoni di locazione sul “con­to affitti”, ma di consegnarli a lei, che li ha “trattenuti in deposito”. E sicco­me AO 1 è “la causa stessa della sua unilatera­le decisio­ne di procedere con la disdetta per mora del condutto­re”, il Pretore avrebbe dovuto – secondo la convenuta – respingere l'istanza di lui per malafede, non sussistendo mora alcuna. Tanto più che l'istante non è stato in grado di documentare nemmeno per quale importo il conduttore sarebbe in mora. Inoltre – prosegue l'appellante – una disdetta del contratto di locazione non rientra fra gli atti di amministrazione necessari cui si riferisce l'art. 647 cpv. 2 n. 1 CC, per lo meno non in un caso come quello in oggetto, dovuto all'abuso di diritto di un comproprietario e senza che si dia la benché minima urgenza.</w:t>
      </w:r>
    </w:p>
    <w:p>
      <w:r>
        <w:rPr>
          <w:b/>
        </w:rPr>
        <w:t>E. 4</w:t>
      </w:r>
    </w:p>
    <w:p>
      <w:r>
        <w:t>Come ha rammentato il Pretore, ogni comproprietario può chiedere con la procedura sommaria e, se occorre, far ordinare dal giudice l'esecuzione degli atti d'amministrazione necessari a conservare il valore della cosa e a mantenerla idonea all'uso (art. 647 cpv. 2 n. 1 CC). La norma comprende tutti gli atti d'amministrazione, che si tratti di atti d'amministrazione ordinaria o di atti d'amministrazione “più importanti” (nel senso dell'art. 647 b cpv. 1 CC), che si tratti di atti materiali (co­me una riparazione), di atti giuridici (come l'espulsione di un conduttore) o di atti giudiziari. Deve trattarsi però di atti “necessari a conservare il valore della cosa e a mantenerla idonea al­l'uso”, di atti destinati cioè a far sì che la cosa continui a essere fruibile normalmente. Gli atti richiesti inoltre devono presentare una certa urgenza, tale da giu stificare il ricorso alla procedura sommaria. Esclusi dall'art. 647 cpv. 2 n. 1 CC sono gli atti di amministrazione intesi a ovviare unicamen­te a una diminuzio­ne del rendimento. Così, la stipulazio­ne di un contratto di locazione a condizioni più vantaggiose per il proprietario dell'immobile non può ritenersi un atto necessario per impedire un deprezzamento della comproprietà e non ricade nelle previsioni dell'art. 647 cpv. 2 n. 1 CC (principi esposti in DTF 97 II 323 consid. 4 e 5).</w:t>
      </w:r>
    </w:p>
    <w:p>
      <w:r>
        <w:rPr>
          <w:b/>
        </w:rPr>
        <w:t>E. 5</w:t>
      </w:r>
    </w:p>
    <w:p>
      <w:r>
        <w:t>Atti d'amministrazione necessari per conservare il valore della cosa e a mantenerla idonea all'uso sono, in particolare, il pagamento di interessi ipotecari, di premi d'assicurazione, di imposte fondiarie ( Meier-Hayoz in: Berner Kommentar, 5ª edizione, n. 63 ad art. 647; Wermelinger in: Zürcher Kommentar, 2ª edizione, n. 127 ad art. 712 a CC), come pure l'assunzione di prove a futu­ra memoria (DTF 111 II 29 consid. 6). Per quanto riguarda la disdetta di un contratto di locazione, l'atto può ritenersi necessario per conservare il valore della cosa e mantenerla idonea al­l'uso “solamente se tale misura dovesse permettere l'estromissione d'un locatario il cui comportamento implicasse un deprezzamen­to dell'immobile”. Ciò potrebbe essere il caso “nell'ipotesi d'un esercizio pubblico che compromettesse il buon nome del­l'immobile e che potesse dar luogo a sanzioni amministrative” (DTF 97 II 325 consid. 4 in fine). Se non ricorrono estremi del genere, l'art. 647 cpv. 2 n. 1 CC è inapplicabile. Non che il comproprietario impedito di compiere un atto d'amministrazione non “necessario” (nel senso dell'art. 647 cpv. 2 n. 1 CC) per il quale occorra l'accordo dell'altro comproprietario o una decisione della maggio-ranza dei comproprietari non possa rivolgersi al giudice, chiedendo di essere autorizzato a eseguirlo o di ordinarne l'esecuzio­ne. A tal fine egli deve promuovere però una causa ordinaria (DTF 97 II 325 consid. 6).</w:t>
      </w:r>
    </w:p>
    <w:p>
      <w:r>
        <w:rPr>
          <w:b/>
        </w:rPr>
        <w:t>E. 6</w:t>
      </w:r>
    </w:p>
    <w:p>
      <w:r>
        <w:t>Nella fattispecie il Pretore ha autorizzato l'istante a rescindere il contratto di locazione con la __________ di __________ R__________ argomentando che – come detto – “in concreto è sicuramente nel­l'interesse dei comproprietari disdire il contratto di locazione per mora del conduttore, in modo da assicurare l'esistenza del­l'immobile stesso con l'ingresso delle pigioni” (sentenza impugnata, pag. 2 in basso). Se non che, come si è spiegato (consid. 4), soltanto atti d'amministrazione volti alla conservazione della cosa sono contemplati dal­l'art. 647 cpv. 2 n. 1 CC. Atti d'amministrazione intesi a rimediare unicamente a una minore redditività del bene ne sono esclusi. Nel caso specifico non consta che lo scioglimento del contratto di locazione con la __________ di __________ R__________ sia necessario per evitare un deprezzamento del­l'immobile. È destinato a ripristinare solo la produttività dello stabile, mentre diverso sarebbe il caso qualora l'istante chiedesse di poter attingere a fondi comuni per il pagamento di oneri ipotecari. Certo, il mancato introito di pigioni obbliga in concreto i comproprietari a reperire altre entrate per finanziare tali oneri unitamen­te alle spese correnti. Ciò non risulta pregiudicare tuttavia il valore o l'integrità della cosa né la sua idoneità all'uso. Questa Camera ha già avuto modo di decidere, del resto, che la stipulazio­ne di contratti di locazione per appartamenti rimasti vuoti in uno stabile in comproprie­tà non rientra fra gli atti d'amministrazione necessari nel senso del­l'art. 647 cpv. 2 n. 1 CC, proprio perché si tratterebbe di un provvedimento destinato a tutelare la reddività, non la conservazione del bene o la sua idoneità all'uso (sentenza inc. 107/91 dell'11 novembre 1991, consid. 3b).</w:t>
      </w:r>
    </w:p>
    <w:p>
      <w:r>
        <w:rPr>
          <w:b/>
        </w:rPr>
        <w:t>E. 7</w:t>
      </w:r>
    </w:p>
    <w:p>
      <w:r>
        <w:t>L'interpretazione restrittiva dell'art. 647 cpv. 2 n. 1 CC adottata dal Tribunale federale in DTF 97 II 320 (e menzionata ancora in DTF 104 II 164 consid. 3a) non risulta avere dato adito a critiche ( Meier-Hayoz , op. cit., n. 58 in fine ad art. 647 CC; Steinauer , Les droits réels, vol. I, 6 ª edizione, pag. 488 n. 1756; Perrechoud in: Commentare romand, CC II, Basilea 2016, n. 5 ad art. 647 con richiamo alla nota 15) ed è stata approvata senza riserve da Liver (in: ZBJV 109/1973 pag. 75 in fondo). Non v'è ragione dunque di scostarsene. Ciò comporta in concreto l'accoglimento dell'appello nella sua domanda subordinata. Il che rende superfluo interrogarsi sulla proponibilità e la fondatezza della domanda principale. Che poi l'istante possa nuovamente adire il giudice con la medesima domanda facendo capo alla procedura ordinaria (sopra, consid. 5) è una questione ininfluente ai fini dell'attuale giudizio.</w:t>
      </w:r>
    </w:p>
    <w:p>
      <w:r>
        <w:rPr>
          <w:b/>
        </w:rPr>
        <w:t>E. 8</w:t>
      </w:r>
    </w:p>
    <w:p>
      <w:r>
        <w:t>L'emanazione della presente decisione rende senza oggetto la richiesta presentata dall'istante per ottenere l'esecutività anticipata della sentenza pretorile (art. 315 cpv. 2 CPC).</w:t>
      </w:r>
    </w:p>
    <w:p>
      <w:r>
        <w:rPr>
          <w:b/>
        </w:rPr>
        <w:t>E. 9</w:t>
      </w:r>
    </w:p>
    <w:p>
      <w:r>
        <w:t>Le spese del pronunciato odierno seguono la soccombenza del­l'istante (art. 106 cpv. 1 CPC), tanto in prima quanto in seconda sede. Non entra in linea di conto invece l'assegnazione di ripetibili, la convenuta essendosi potuta difendere dinanzi al Pretore e avendo potuto appellare davanti a questa Camera senza ricorrere all'assistenza di un patrocinatore (art. 95 cpv. 3 lett. b CPC). Per altro l'interessata non formula né un'eventuale richiesta di rimborso per spese necessarie (art. 95 cpv. 3 lett. a CPC) né rende verosimile una perdita di guadagno per l'assegnazione di un'eventuale indennità d'inconvenienza (“in casi motivati”: art. 95 cpv. 3 lett. c CPC).</w:t>
      </w:r>
    </w:p>
    <w:p>
      <w:r>
        <w:rPr>
          <w:b/>
        </w:rPr>
        <w:t>E. 10</w:t>
      </w:r>
    </w:p>
    <w:p>
      <w:r>
        <w:t>Quanto ai rimedi giuridici esperibili contro l'attuale sentenza sul piano federale (art. 112 cpv. 1 lett. d LTF), il valore litigioso raggiunge la soglia di fr. 30 000.– nella prospettiva dell'art. 74 cpv. 1 lett. b LTF (sopra, consid. 1). Il ricorso in materia civile è di conseguenza ammissibile ( Perruchoud , op. cit., n. 7 ad art. 647 CC con rinvio alla nota 23). Per questi motivi, decide: I.   L'appello è accolto nella sua domanda subordinata e la sentenza impugnata è riformata come segue: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