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11.2018.75 vom 2. August 2018</w:t>
      </w:r>
    </w:p>
    <w:p>
      <w:r>
        <w:t>TI Tribunale d'appello, 2018-08-02, IT</w:t>
      </w:r>
    </w:p>
    <w:p>
      <w:r>
        <w:rPr>
          <w:b/>
        </w:rPr>
        <w:t xml:space="preserve">Quelle: </w:t>
      </w:r>
      <w:r>
        <w:t>https://mcp.opencaselaw.ch/entscheid/ti_gerichte_11.2018.75</w:t>
      </w:r>
    </w:p>
    <w:p>
      <w:r>
        <w:t>FR: TI_GERICHTE 11.2018.75 du 2 août 2018</w:t>
      </w:r>
    </w:p>
    <w:p>
      <w:r>
        <w:t>IT: TI_GERICHTE 11.2018.75 del 2 agosto 2018</w:t>
      </w:r>
    </w:p>
    <w:p>
      <w:pPr>
        <w:pStyle w:val="Heading2"/>
      </w:pPr>
      <w:r>
        <w:t>Regeste</w:t>
      </w:r>
    </w:p>
    <w:p>
      <w:r>
        <w:t>Rinvio del Tribunale federale a questa Camera in materia di spese e ripetibili</w:t>
      </w:r>
    </w:p>
    <w:p>
      <w:pPr>
        <w:pStyle w:val="Heading2"/>
      </w:pPr>
      <w:r>
        <w:t>Erwägungen</w:t>
      </w:r>
    </w:p>
    <w:p>
      <w:r>
        <w:rPr>
          <w:b/>
        </w:rPr>
        <w:t>E. 000</w:t>
      </w:r>
    </w:p>
    <w:p>
      <w:r>
        <w:t>per commisurarle al valore litigioso e al dispendio di tempo profuso dai patrocinatori, sembrava “aver tenuto conto anche del fatto che la propria pronuncia ponesse fine alla vertenza”. Se non che – esso ha soggiunto – “l'accoglimento del presente ricorso ha come conseguenza che tale premessa non è più soddisfatta”, sicché ha rinviato gli atti alla Camera per riesaminare la questione. Occorre verificare pertanto, nelle circostanze descritte, se le considerazioni del Tribunale federale giustifichino una decisione diversa sulle spese giudiziarie di prima e di seconda sede.</w:t>
      </w:r>
    </w:p>
    <w:p>
      <w:r>
        <w:rPr>
          <w:b/>
        </w:rPr>
        <w:t>E. 2</w:t>
      </w:r>
    </w:p>
    <w:p>
      <w:r>
        <w:t>L'appello essendo stato respinto dal Tribunale federale in riforma della decisione emessa da questa Camera, le spese processuali di secondo grado seguono manifestamente la soccombenza del Comune di AP 1 (art. 106 cpv. 1 CPC). Quanto alle ripetibili, fissate dalla Camera in fr. 8000.– nella precedente decisione, nulla giustifica di scostarsi da simile importo, i parametri per determinare tale indennità (valore litigioso, importanza della lite, le difficoltà, ampiezza del lavoro svolto e tempo impiegato dagli avvocati) potendosi ritenere nel complesso equivalenti per i patrocinatori delle due parti. Relativamente al dispositivo sugli oneri e le ripetibili di primo grado, la sentenza del Tribunale federale ripristina – in pratica – il sindacato del Pretore, ciò che giustifica di ristabilire anche il dispositivo sulle spese e le ripetibili emanato dal primo giudice, tanto più che esso non era stato impugnato dagli attori.</w:t>
      </w:r>
    </w:p>
    <w:p>
      <w:r>
        <w:rPr>
          <w:b/>
        </w:rPr>
        <w:t>E. 3</w:t>
      </w:r>
    </w:p>
    <w:p>
      <w:r>
        <w:t>Riguardo ai rimedi giuridici proponibili contro l'odierna sentenza sul piano federale (art. 112 cpv. 1 lett. d LTF), il valore litigioso raggiunge agevolmente la soglia di fr. 30 000.– nella prospettiva dell'art. 74 cpv. 1 lett. b LTF. Per questi motivi, decide: 1. Le spese processuali di primo grado, di fr. 1000.– complessivi, sono poste a carico del Comune di AP 1, che rifonderà agli attori fr. 5000.– complessivi per ripetibili. 2.   Le spese processuali di appello, di fr. 2500.– complessivi, sono poste a carico anch'esse del Comune di AP 1, che rifonderà agli attori fr. 8000.– complessivi per ripetibili. 3.   Notificazione a: – avv.   ; – avvocati   e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