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11.2017.99 vom 29. September 2017</w:t>
      </w:r>
    </w:p>
    <w:p>
      <w:r>
        <w:t>TI Tribunale d'appello, 2017-09-29, IT</w:t>
      </w:r>
    </w:p>
    <w:p>
      <w:r>
        <w:rPr>
          <w:b/>
        </w:rPr>
        <w:t xml:space="preserve">Quelle: </w:t>
      </w:r>
      <w:r>
        <w:t>https://mcp.opencaselaw.ch/entscheid/ti_gerichte_11.2017.99_d20170929</w:t>
      </w:r>
    </w:p>
    <w:p>
      <w:r>
        <w:t>FR: TI_GERICHTE 11.2017.99 du 29 septembre 2017</w:t>
      </w:r>
    </w:p>
    <w:p>
      <w:r>
        <w:t>IT: TI_GERICHTE 11.2017.99 del 29 settembre 2017</w:t>
      </w:r>
    </w:p>
    <w:p>
      <w:pPr>
        <w:pStyle w:val="Heading2"/>
      </w:pPr>
      <w:r>
        <w:t>Regeste</w:t>
      </w:r>
    </w:p>
    <w:p>
      <w:r>
        <w:t>Stralcio della causa per ritiro dell'appello principale e caducità dell'appello incidentale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