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11.2016.98 vom 9. Oktober 2017</w:t>
      </w:r>
    </w:p>
    <w:p>
      <w:r>
        <w:t>TI Tribunale d'appello, 2017-10-09, IT</w:t>
      </w:r>
    </w:p>
    <w:p>
      <w:r>
        <w:rPr>
          <w:b/>
        </w:rPr>
        <w:t xml:space="preserve">Quelle: </w:t>
      </w:r>
      <w:r>
        <w:t>https://mcp.opencaselaw.ch/entscheid/ti_gerichte_11.2016.98</w:t>
      </w:r>
    </w:p>
    <w:p>
      <w:r>
        <w:t>FR: TI_GERICHTE 11.2016.98 du 9 octobre 2017</w:t>
      </w:r>
    </w:p>
    <w:p>
      <w:r>
        <w:t>IT: TI_GERICHTE 11.2016.98 del 9 ottobre 2017</w:t>
      </w:r>
    </w:p>
    <w:p>
      <w:pPr>
        <w:pStyle w:val="Heading2"/>
      </w:pPr>
      <w:r>
        <w:t>Regeste</w:t>
      </w:r>
    </w:p>
    <w:p>
      <w:r>
        <w:t>Registro fondiario: ricorso contro la cancellazione di servitû da parte dell'ufficiale</w:t>
      </w:r>
    </w:p>
    <w:p>
      <w:pPr>
        <w:pStyle w:val="Heading2"/>
      </w:pPr>
      <w:r>
        <w:t>Erwägungen</w:t>
      </w:r>
    </w:p>
    <w:p>
      <w:r>
        <w:rPr>
          <w:b/>
        </w:rPr>
        <w:t>E. 2</w:t>
      </w:r>
    </w:p>
    <w:p>
      <w:r>
        <w:t>Nella decisione impugnata l'autorità di vigilanza ha ricordato che a norma dell'art. 956 a cpv.</w:t>
      </w:r>
    </w:p>
    <w:p>
      <w:r>
        <w:rPr>
          <w:b/>
        </w:rPr>
        <w:t>E. 3</w:t>
      </w:r>
    </w:p>
    <w:p>
      <w:r>
        <w:t>La ricorrente contesta che AO 1 potesse ottenere da sé solo la cancellazione delle note servitù “con il solo e manifesto intento di non contribuire alle spese di manutenzione di alcune installazioni comuni”, ciò che compromette “l'intero e complesso assetto del Q__________”. A mente sua, in mancanza dei consensi per la cancellazione delle servitù da parte “dei terzi che dispongono di diritti reali limitati sui fondi dominanti” (come i creditori ipotecari), la decisione impugnata va annullata, anche perché con la rinuncia alle servitù le proprietà per piani del fondo dominante subiscono un netto deprezzamento dovuto alla perdita del diritto d'uso di determinate strutture comuni al “supercondominio”. Inoltre, secondo la ricorrente, l'ufficiale del registro fondiario non poteva dar seguito alla richiesta di cancellazione, poiché l'art. 740 a cpv. 1 CC non è applicabile. A suo parere, la norma è superata dal regolamento per la gestione delle strutture comuni del Q__________, il quale prevede che per la definizione dei termini di gestione, uso e ripartizione delle spese delle parti comuni è data la competenza dell'assemblea dei comproprietari. Ciò esclude la possibilità di rinunciare unilateralmente alle servitù. Per di più, prosegue la ricorrente, il citato regolamento non consente di uscire dalla comunione rinunciando alle servitù giusta l'art. 740 a cpv. 2 CC. Infine, secondo la ricorrente, la rinuncia unilaterale alle servitù, che trascenderebbe finanche nel­l'abuso di diritto, non è ammissibile, poiché la mancata partecipazione alla gestione e al finanziamento delle varie strutture comuni comprometterebbe gravemente la stabilità, l'attrattività e la vivibilità del quartiere.</w:t>
      </w:r>
    </w:p>
    <w:p>
      <w:r>
        <w:rPr>
          <w:b/>
        </w:rPr>
        <w:t>E. 4</w:t>
      </w:r>
    </w:p>
    <w:p>
      <w:r>
        <w:t>Come si è visto, la decisione impugnata poggia su una doppia motivazione. Per un verso l'autorità di vigilanza sul registro fondiario ha definito il ricorso irricevibile, per altro verso l'ha respinto poiché – in estrema sintesi – mancando una convenzione integrativa annotata nel registro fondiario, il beneficiario poteva rinunciare unilateralmente a diritti di servitù senza dover interpellare previamente eventuali altri titolari interessati. Ora, quan­­do una decisione è sorretta da più motivazioni indipendenti (alternative o sussidiarie), l'una di esse bastando da sé sola per definire l'esito della causa, il ricorrente deve confrontarsi con tutte quante, sotto pena di inam­missibilità del ricorso, e un'impugnazione può essere accolta unicamente se le critiche volte contro ogni motivazione risultano fondate (DTF 138 III 735 consid. 3.4 con rinvio, 138 I 100 consid. 4.1.4; analogamente: I CCA, sentenza inc. 11.2016.89 del</w:t>
      </w:r>
    </w:p>
    <w:p>
      <w:r>
        <w:rPr>
          <w:b/>
        </w:rPr>
        <w:t>E. 7</w:t>
      </w:r>
    </w:p>
    <w:p>
      <w:r>
        <w:t>Quanto ai rimedi giuridici esperibili contro la presente sentenza sul piano federale, la vigilanza sulla tenuta del registro fondiario è suscettibile di ricorso in materia civile (art. 72 cpv. 2 lett. b n. 2 LTF). Il valore litigioso non parrebbe determinante (sentenza del Tribunale federale 5A_614/2008 del 26 novembre 2008, consid. 1, in: ZBGR 92/2011 pag. 370 e sentenza 5A_593/2012 del 1° novembre 2012, consid. 1 in: ZBGR 94/2013 pag. 277; v. anche Mooser , op. cit., n. 53 ad art. 956 a CC; Schmid , op. cit., n. 8 ad art. 956 b CC).</w:t>
      </w:r>
    </w:p>
    <w:p>
      <w:r>
        <w:rPr>
          <w:b/>
        </w:rPr>
        <w:t>E. 8</w:t>
      </w:r>
    </w:p>
    <w:p>
      <w:r>
        <w:t>La comunicazione dell'odierno giudizio avviene anche all'Ufficio federale per il diritto del registro fondiario e del diritto fondiario (UFRF: art. 7 ORF), il quale esercita l'alta vigilanza sulla tenuta del registro fondiario ed è legittimato a impugnare le decisioni su ricorso in materia di registro fondiario dinanzi al Tribunale federale (art. 956 a cpv. 2 n. 3 CC, art. 6 cpv. 3 lett. j ORF). Per questi motivi, pronuncia: 1.   Il ricorso è irricevibile. 2. Le spese processuali di complessivi fr. 1000.– sono poste a carico della ricorrente, che rifonderà ad AO 1 fr. 1500.– per ripetibili. 3.   Notificazione a: – avv.; – avv.; – Ufficio del registro fondiario del Distretto di; – Divisione della giustizia quale autorità di vigilanza sul registro fondiario. Comunicazione all'Ufficio federale di giustizia, Ufficio federale per il diritto del registro fondiario e del diritto fondiario.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