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11.2016.89 vom 7. Oktober 2016</w:t>
      </w:r>
    </w:p>
    <w:p>
      <w:r>
        <w:t>TI Tribunale d'appello, 2016-10-07, IT</w:t>
      </w:r>
    </w:p>
    <w:p>
      <w:r>
        <w:rPr>
          <w:b/>
        </w:rPr>
        <w:t xml:space="preserve">Quelle: </w:t>
      </w:r>
      <w:r>
        <w:t>https://mcp.opencaselaw.ch/entscheid/ti_gerichte_11.2016.89</w:t>
      </w:r>
    </w:p>
    <w:p>
      <w:r>
        <w:t>FR: TI_GERICHTE 11.2016.89 du 7 octobre 2016</w:t>
      </w:r>
    </w:p>
    <w:p>
      <w:r>
        <w:t>IT: TI_GERICHTE 11.2016.89 del 7 ottobre 2016</w:t>
      </w:r>
    </w:p>
    <w:p>
      <w:pPr>
        <w:pStyle w:val="Heading2"/>
      </w:pPr>
      <w:r>
        <w:t>Regeste</w:t>
      </w:r>
    </w:p>
    <w:p>
      <w:r>
        <w:t>Divorzio su istanza comune con accordo completo</w:t>
      </w:r>
    </w:p>
    <w:p>
      <w:pPr>
        <w:pStyle w:val="Heading2"/>
      </w:pPr>
      <w:r>
        <w:t>Erwägungen</w:t>
      </w:r>
    </w:p>
    <w:p>
      <w:r>
        <w:rPr>
          <w:b/>
        </w:rPr>
        <w:t>E. 30</w:t>
      </w:r>
    </w:p>
    <w:p>
      <w:r>
        <w:t>giorni nella misura in cui riguardava le cause di divorzio (art. 311 cpv. 1 CPC; I CCA, sentenza inc. 11.2012.55 del 22 maggio 2013, consid. 1). La decisione impugnata è stata notificata a AP 1 il 19 luglio 2016. Presentato il 12 settembre 2016, il “ricorso” in esame è stato introdotto entro 30 giorni (considerata la sospensione dei ter­mini intervenuta dal 15 luglio al 15 agosto 2015 giusta l'art. 145 cpv. 1 lett. b CPC). Nella misura in cui concerne la protezione dell'unione coniugale, esso potrebbe quindi essere dichiarato senza indugio improponibile. Dato che – come si vedrà oltre – la sua sorte appare segnata, non è il caso tuttavia di attardarsi in proposito. Quanto al valore litigioso, esso raggiunge pacificamente la soglia di fr. 10 000.– “secondo l'ultima conclusione riconosciuta” nella decisione impugnata (art. 308 cpv. 2 CPC), giacché – come ha rilevato il Pretore (pag. 7) – AP 1 cerca di rimettere in discussione i contributi alimentari per le figlie stabiliti in via cautelare fino al 2008, varianti da fr. 480.– a fr. 1200.– mensili per ognu­na di loro (decreto cautelare dell'8 novembre 2005: verbale del 5 dicembre 2005 nell'inc. DI.2005.79, pag. 2; decreto cautelare del 3 maggio 2006 nella cartella blu “corrispondenza __________”). 2. L'appellante acclude al suo memoriale una decisione del Tribunale ordinario di __________, che il 13 dicembre 2007 lo ha prosciolto dall'accusa di aver reso false attestazioni a pubblico ufficiale in esito alla registrazione della famiglia, il 14 marzo 2005, all'Ufficio dell'anagrafe di __________, come pure la sua dichiarazione dei redditi – non datata – per il 2013. Ora, nuovi mezzi di prova sono ammissibili in appello soltanto se dinanzi alla giurisdizione inferiore non era possibile addurli nemmeno con la diligenza ragionevolmente esigibile, tenuto conto delle circostanze (art. 317 cpv. 1 lett. b CPC). Per quel che è della dichiarazione dei redditi 2013, l'appellante nemmeno pretende che ciò gli fosse impossibile, onde l'improponibilità del nuovo documento. Quanto alla decisione del Tribunale di __________, egli assevera che solo il giudizio impugnato, formulando l'accusa, gli ha dato motivo di presentare il nuovo mezzo di prova (memoriale, pag. 5 n. 7). Il Pretore tuttavia non lo ha mai accusato di avere reso false attestazioni a un pubblico ufficiale, ma di avere operato un “trasferimento coatto del domicilio delle minori a __________” (decisione impugnata, pag. 8). A parte ciò, come si vedrà in appresso (consid. 8), il documento non è di alcun rilievo ai fini del giudizio. AP 1 chiede altresì che si richiamino gli incarti delle Preture delle giurisdizioni di Mendrisio Nord e Sud, come pure due fascicoli del Tribunale di __________. Per quanto riguarda i primi, essi sono già agli atti, sicché la richiesta è senza oggetto. Relativamente ai secondi, non si vede – né l'appellante spiega – in che cosa sussidino ai fini del giudizio. Ciò posto, giova procedere alla trattazione dell'appello. 3. Nella decisione impugnata il Pretore ha rilevato come AP 1 ribadisse – in sintesi – le contestazioni più volte sollevate circa l'incompetenza del giudice svizzero per emanare provvedimenti cautelari a protezione dell'unione coniugale e nelle cause di divorzio, mentre la questione era già stata risolta il 28 luglio 2008 con il rigetto dell'eccezione di incompetenza. Ciò nonostante, egli ha esaminato ugualmente le due richieste del 18 marzo 2016. Riguardo alla prima, con cui AP 1 chiedeva di accogliere la propria istanza del 23 novembre 2005 e di respingere la petizione di divorzio del 13 maggio 2005 per carenza di giurisdizione, egli l'ha ritenuta senza senso alla luce dell'accordo intervenuto e – comunque fosse – infondata. Quanto alla seconda, con cui l'interessato postulava la revoca dei decreti “supercautelari” del 7 aprile e dell'8 novembre 2005 sempre per carenza di giurisdizione, egli ne ha rilevato l'infondatezza proprio in esito al decreto del 28 luglio 2008 (decisione impugnata, pag. 6). A titolo abbondanziale il primo giudice ha soggiunto che il risultato non sarebbe stato diverso nemmeno se la decisione del 28 luglio 2008 sulla competenza si fosse riferita soltanto, nonostante la sua intestazione, alla seconda causa di divorzio. Anche in siffatta ipotesi – egli ha epilogato – la sua competenza a disciplinare i contributi alimentari per le figlie sarebbe stata data in virtù della residenza abituale delle minorenni in Svizzera, che né il trasferimento coatto del domicilio (da __________ a __________) operato dal padre né il loro soggiorno – transitorio – presso di lui durante l'estate del 2005 nell'“ottica di una soluzione transattiva poi naufragata” avrebbero modificato (decisione impugnata, pag. 7 seg.). 4. Un appello dev'essere “scritto e motivato” (art. 311 cpv. 1 CPC), nel senso che incombe all'appellante spiegare perché la sentenza impugnata è erronea nell'accertamento dei fatti o nell'applicazione del diritto (DTF 138 III 375 consid. 4.3.1). Doglianze generiche e recriminazioni di carattere generale non sono sufficienti, come non basta ripetere nell'appello le argomentazioni esposte in prima sede. Spetta all'appellante confrontarsi con la motivazione addotta nella sentenza impugnata, indicando dove e in che cosa consisterebbe lo sbaglio (sentenza del Tribunale federale 4A_290/2014 del 1° settembre 2014 consid. 3.1, in: RSPC 2015 pag. 52). Per di più, ove un giudizio impugnato sia sorretto – come in concreto – da più motivazioni indipendenti, alternative o sussidiarie, un appellante deve dimostrare che ciascuna di esse è contraria al diritto (cfr. DTF 138 I 100 consid. 4.1.4 con rinvii). 5. In concreto l'appellante non si confronta con la motivazione principale della decisione impugnata, limitandosi a esprimere la propria personale opinione. Egli afferma che il Pretore non poteva emettere i decreti supercautelari del 7 aprile e dell'8 novembre 2005, data la litispendenza della causa di separazione giudiziale a __________, ma non discute che con la decisione del 28 luglio 2008 il Pretore abbia inteso accertare la propria competenza in materia cautelare sin dall'inizio dei procedimenti. Né egli spiega – o altrimenti si comprende – perché l'accertamento della competenza nel luglio 2008 avrebbe dispiegato effetti solo per il futuro, escludendo gli atti processuali compiuti del Pretore in precedenza. Insufficientemente motivato, al riguardo l'appello non può essere vagliato oltre. 6. Si volesse nondimeno fare astrazione da quel che precede, le censure dell'appellante non sarebbero destinate a miglior esito. Sempre per quanto attiene alla motivazione principale della decisione impugnata, l'appellante non contesta che l'accordo intervenuto fra le parti sugli effetti del divorzio abbia reso di per sé superata l'istanza del 23 novembre 2005 con la quale egli chiedeva di respingere la prima petizione di divorzio. Invano egli ripropone quindi l'accoglimento di tale istanza, la quale non denota più alcun interesse pratico e attuale, ovvero degno di protezione (art. 59 cpv. 2 lett. a CPC). Un appello non è destinato al riesame postumo di questioni superate dagli eventi né, tanto meno, a riaccendere contese ininfluenti per la sentenza di divorzio. Anche al proposito l'appellante non può dunque trovare ascolto. 7. Né l'appellante spiega neppure quale interesse pratico e attuale sorregga la richiesta di revocare il decreto “supercautelare” del 7 aprile 2005, il quale regolava unicamente aspetti extrapatrimoniali. Una volta ancora il riesame sarebbe destinato a verifiche astratte e teoriche, da compiere a posteriori per indole di rivincita. Né tanto meno è dato a divedere quali conseguenze l'appellante intenda trarre dalla doglianza secondo cui il decreto cautelare non menzionasse, in applicazione dell'art. 282 cpv. 1 lett. a CPC, gli elementi di reddito e di sostanza per il calcolo dei contributi. Insufficientemente motivato, l'appello cade pertanto nel vuoto. 8. Si aggiunga che l'appello non risulterebbe provvisto di miglior fondamento nemmeno in relazione alla motivazione sussidiaria addotta dal Pretore. L'interessato si duole che il primo giudice gli avrebbe rimproverato di avere trasferito coattivamente nel 2005 il domicilio delle figlie a __________, mentre – egli sottolinea – la sentenza 13 dicembre 2007 del Tribunale penale di __________ accerta la non sussistenza del fatto. Dell'inammissibilità della nuova prova, tuttavia, già si è detto (consid. 2). Per di più, il Pretore si è limitato ad accertare l'avvenuto trasferimento unilaterale della residenza anagrafica, non a sindacare la rilevanza penale dell'atto. Senza dimenticare che – sempre secondo il Pretore – tale azione unilaterale, come pure il soggiorno transitorio delle figlie presso l'appellante nell'estate del 2005, non avevano modificato la residenza abituale delle figlie a __________ né influivano sulla sua competenza per territorio a disciplinare cautelarmente i contributi di mantenimento. Invano si cercherebbe nell'appello un passaggio qualsiasi in cui si discuta tale motivazione. Ne segue l'inammissibilità del ricorso anche su quest'ultimo punto. 9. Le spese dell'attuale giudizio seguirebbero la soccombenza (art. 106 cpv. 1 CPC). Tutto induce a presumere nondimeno che nel caso specifico una riscossione si tradurrebbe in un mero costo aggiuntivo per l'erario cantonale, l'esistenza di ripetute procedure di abbandono del credito da parte del Tribunale di appello rendendo verosimilmente illusorio ogni eventuale incasso. Tanto vale in simili frangenti soprassedere a prelievi. Ciò rende senza oggetto la richiesta di gratuito patrocinio formulata da AP 1. Non si pone invece problema di ripetibili, il memoriale non essendo stato notificato per osservazioni alla controparte. 10. Quanto ai rimedi giuridici esperibili contro l'odierna sentenza sul piano federale (art. 112 cpv. 1 lett. d LTF), spetterà a AP 1, nell'eventualità di un ricorso in materia civile, rendere verosimile che il valore litigioso raggiunge fr. 30 000.– ai fini dell'art. 74 cpv. 1 lett. b LTF. Per questi motivi, decide: 1. L'appello è irricevibile. 2.  Non si riscuotono spese. 3.  La richiesta di gratuito patrocinio è dichiarata senza oggetto. 4.  Notificazione a: – avv. dott.; – avv.. Comunicazione alla Pretura della giurisdizione di Mendrisio Sud. Per la prima Camera civile del Tribunale d ' appello Il presidente                                                 Il vicecancelliere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