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11.2016.63 vom 15. Dezember 2017</w:t>
      </w:r>
    </w:p>
    <w:p>
      <w:r>
        <w:t>TI Tribunale d'appello, 2017-12-15, IT</w:t>
      </w:r>
    </w:p>
    <w:p>
      <w:r>
        <w:rPr>
          <w:b/>
        </w:rPr>
        <w:t xml:space="preserve">Quelle: </w:t>
      </w:r>
      <w:r>
        <w:t>https://mcp.opencaselaw.ch/entscheid/ti_gerichte_11.2016.63</w:t>
      </w:r>
    </w:p>
    <w:p>
      <w:r>
        <w:t>FR: TI_GERICHTE 11.2016.63 du 15 décembre 2017</w:t>
      </w:r>
    </w:p>
    <w:p>
      <w:r>
        <w:t>IT: TI_GERICHTE 11.2016.63 del 15 dicembre 2017</w:t>
      </w:r>
    </w:p>
    <w:p>
      <w:pPr>
        <w:pStyle w:val="Heading2"/>
      </w:pPr>
      <w:r>
        <w:t>Regeste</w:t>
      </w:r>
    </w:p>
    <w:p>
      <w:r>
        <w:t>Divorzio su richiesta comune: applicabilità di un accordo sul conguaglio della previdenza professionale omologato dal Pretore</w:t>
      </w:r>
    </w:p>
    <w:p>
      <w:pPr>
        <w:pStyle w:val="Heading2"/>
      </w:pPr>
      <w:r>
        <w:t>Erwägungen</w:t>
      </w:r>
    </w:p>
    <w:p>
      <w:r>
        <w:rPr>
          <w:b/>
        </w:rPr>
        <w:t>E. 000</w:t>
      </w:r>
    </w:p>
    <w:p>
      <w:r>
        <w:t>è dunque raggiunto anche se l'interessato riconosce di dovere ancora a AO 1 fr. 2495.– per spese e ripetibili della procedura a tutela dell'unione coniugale, indennità ch'egli pone in deduzione della sua pretesa. Tale importo, estraneo all'oggetto della causa, non entra tuttavia nel calcolo del valore litigioso (art. 91 cpv. 1 seconda frase CPC). Riguardo alla tempestività dell'appello, la sentenza impugnata è pervenuta al patrocinatore del convenuto il 16 giugno 2016. Introdotto il 9 luglio 2016 (data del timbro postale sulla busta d'invio), il ricorso in esame è pertanto tempestivo.</w:t>
      </w:r>
    </w:p>
    <w:p>
      <w:r>
        <w:rPr>
          <w:b/>
        </w:rPr>
        <w:t>E. 2</w:t>
      </w:r>
    </w:p>
    <w:p>
      <w:r>
        <w:t>All'appello AP 1 acclude un estratto datato 4 luglio 2016 della __________, __________, da cui si evince che la sua prestazione di libero passaggio acquisita durante il matrimonio ammonta a fr. 201 154.98. Ora, nuovi mezzi di prova sono proponibili in appello se vengono immediatamente addotti e se dinanzi alla giurisdizione inferiore non era possibile farli valere nemmeno con la diligenza esigibile, tenuto conto delle circostanze (art. 317 cpv. 1 CPC). In concreto il documento prodotto è successivo all'emanazione della sentenza impugnata, ma non consta – né l'appellante asserisce – che non potesse essere chiesto all'istituto di previdenza prima di allora. Comunque sia, e come si vedrà oltre (consid. 4), l'attestato non è di rilievo ai fini del giudizio. Non giova attardarsi dunque sulla sua ricevibilità.</w:t>
      </w:r>
    </w:p>
    <w:p>
      <w:r>
        <w:rPr>
          <w:b/>
        </w:rPr>
        <w:t>E. 3</w:t>
      </w:r>
    </w:p>
    <w:p>
      <w:r>
        <w:t>L'appellante contesta davanti a questa Camera – come detto – l'entità del conguaglio nell'ambito della previdenza professionale destinato al “secondo pilastro” della moglie ( art. 122 CC). Afferma che la sua presta­zione d'uscita ammonta a fr. 201 155.– e quella della moglie a fr. 11 000.–, onde un capitale da dividere di fr. 212 155.–. La metà di tale importo risultando di fr. 106 078.–, alla moglie spetta un conguaglio di fr. 95 078.– (fr. 106 078.– meno fr. 11 000.–), non di fr. 105 350.–. Così argo­mentando, egli dimentica tuttavia che la cifra di fr. 105 350.– si riconduce a un accordo da lui stipulato con la controparte e omologato dal giudice. Certo, anche la regolamentazione di un effetto del divorzio pattuita in una convenzione omologata dal giudice può essere impugnata. L'appellante deve valersi tuttavia di un vizio della volontà o invocare norme del diritto imperativo che la regolamentazione offenderebbe o dolersi di una manifesta inadeguatezza ( Bähler in: Brunner/Gasser/Schwander, Schweizerische ZPO, Kommentar, 2ª edizione, vol. II, n. 6 ad art. 289 con rinvii; Tappy in: CPC commenté, Basilea 2011, n. 16b ad art. 289). Egli deve spiegare, in sintesi, perché il primo giudice non avrebbe dovuto omologare la convenzione su tal punto.</w:t>
      </w:r>
    </w:p>
    <w:p>
      <w:r>
        <w:rPr>
          <w:b/>
        </w:rPr>
        <w:t>E. 4</w:t>
      </w:r>
    </w:p>
    <w:p>
      <w:r>
        <w:t>Nella fattispecie l'appellante non lamenta vizi della volontà né censura una violazione del diritto imperativo né denuncia una manifesta inadeguatezza della convenzione. Tanto meno egli allega – per avventura – fatti nuovi che non gli sarebbe stato possibile recare dinanzi al primo giudice (art. 317 cpv. 1 CPC). Si limita a far valere che nel caso specifico il conguaglio nell'ambito della previdenza professionale destinato al “secondo pilastro” della moglie non corrisponde alla metà della sua prestazione d'uscita calcolata per la durata del matrimonio secondo le disposizioni della legge sul libero passag­gio (art. 123 cpv. 1 e 3 CC). Ciò non basta tuttavia per rimettere in discussione l'omologabilità dell'accordo preso. Il riparto a metà previsto dall'art. 123 cpv. 1 CC non è inderogabile. Un coniuge può anche rinunciare convenzionalmente, in tutto in parte, alla metà della prestazione d'uscita maturata dall'altro se gli rimane garantita un'adeguata previdenza per la vecchiaia e per l'invalidità (art. 124 b cpv. 1 CC). L'appellante non asserisce che il conguaglio della previdenza professionale concordato “dopo ampia discussione informale” all'udienza del 2 giugno 2016 con l'assistenza del suo patrocinatore e omologato dal Pretore aggiunto nella decisione impugnata gli pregiudichi un'adeguata previdenza per la vecchiaia e per l'invalidità. Non pretende nem­meno che il primo giudice abbia trascurato di verificare simile condizione (art. 280 cpv. 3 CPC). Ne segue che, priva di consistenza, la sua critica è destinata all'insuccesso.</w:t>
      </w:r>
    </w:p>
    <w:p>
      <w:r>
        <w:rPr>
          <w:b/>
        </w:rPr>
        <w:t>E. 5</w:t>
      </w:r>
    </w:p>
    <w:p>
      <w:r>
        <w:t>Le spese del giudizio odierno seguono il precetto della soccombenza (art. 106 cpv. 1 CPC). AO 1, che ha presentato osservazioni all'appello tramite un patrocinatore, ha diritto inoltre a un'adeguata indennità per ripetibili.</w:t>
      </w:r>
    </w:p>
    <w:p>
      <w:r>
        <w:rPr>
          <w:b/>
        </w:rPr>
        <w:t>E. 6</w:t>
      </w:r>
    </w:p>
    <w:p>
      <w:r>
        <w:t>Quanto ai rimedi esperibili sul piano federale contro la presente sentenza (art. 112 cpv. 1 lett. d LTF), il valore litigioso non raggiunge la soglia di 30 000.– ai fini dell'art. 74 cpv. 1 lett. b LTF (sopra, consid. 1). Per questi motivi, decide: 1.   L'appello è respinto e la sentenza impugnata è confermata. 2.   Le spese processuali di fr. 500.– sono poste a carico dell'appellante, che rifonderà alla controparte fr. 1000.– per ripetibili. 3.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