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11.2016.18 vom 28. November 2017</w:t>
      </w:r>
    </w:p>
    <w:p>
      <w:r>
        <w:t>TI Tribunale d'appello, 2017-11-28, IT</w:t>
      </w:r>
    </w:p>
    <w:p>
      <w:r>
        <w:rPr>
          <w:b/>
        </w:rPr>
        <w:t xml:space="preserve">Quelle: </w:t>
      </w:r>
      <w:r>
        <w:t>https://mcp.opencaselaw.ch/entscheid/ti_gerichte_11.2016.18</w:t>
      </w:r>
    </w:p>
    <w:p>
      <w:r>
        <w:t>FR: TI_GERICHTE 11.2016.18 du 28 novembre 2017</w:t>
      </w:r>
    </w:p>
    <w:p>
      <w:r>
        <w:t>IT: TI_GERICHTE 11.2016.18 del 28 novembre 2017</w:t>
      </w:r>
    </w:p>
    <w:p>
      <w:pPr>
        <w:pStyle w:val="Heading2"/>
      </w:pPr>
      <w:r>
        <w:t>Regeste</w:t>
      </w:r>
    </w:p>
    <w:p>
      <w:r>
        <w:t>Protezione dell'unione coniugale: contributo di mantenimento per la figlia</w:t>
      </w:r>
    </w:p>
    <w:p>
      <w:pPr>
        <w:pStyle w:val="Heading2"/>
      </w:pPr>
      <w:r>
        <w:t>Erwägungen</w:t>
      </w:r>
    </w:p>
    <w:p>
      <w:r>
        <w:rPr>
          <w:b/>
        </w:rPr>
        <w:t>E. 000</w:t>
      </w:r>
    </w:p>
    <w:p>
      <w:r>
        <w:t>“secondo l'ultima conclusione riconosciuta nella decisione” impugnata (art. 308 cpv. 2 CPC). Nella fattispecie tale riserva non si pone, giacché davanti al Pretore non era in discussione solo il contributo alimentare per la figlia, ma anche la custodia di lei e, di riflesso, il diritto di visita del genitore non affidatario, controversie che non dipendono da questioni di valore (cfr. DTF 112 II 291 consid. 1 ). Quanto alla tempestività dell'appello, la sentenza impugnata è pervenuta al patrocinatore del­ convenuto il 23 marzo 2016, di modo che il termine di ricorso, cominciato a decorrere l'indomani, sarebbe scaduto sabato 2 aprile 2016, tranne protrarsi al lunedì successivo in forza dell'art. 142 cpv. 3 CPC. Presentato il 4 aprile 2016, ultimo giorno utile, l'appello in esame è di conseguenza ammissibile.</w:t>
      </w:r>
    </w:p>
    <w:p>
      <w:r>
        <w:rPr>
          <w:b/>
        </w:rPr>
        <w:t>E. 000.00</w:t>
      </w:r>
    </w:p>
    <w:p>
      <w:r>
        <w:t>complessivi (verbale del 4 novem­bre 2015, pag. 3 in alto), sebbene in questa sede sostenga il contrario (osservazioni, 6° foglio). Eventuali contesta­zioni sul calcolo del conguaglio e sulla compensazione di somme versate per la partecipazione alle spese straordinarie della figlia potranno sempre, ad ogni modo, essere sottoposte al giudice.</w:t>
      </w:r>
    </w:p>
    <w:p>
      <w:r>
        <w:rPr>
          <w:b/>
        </w:rPr>
        <w:t>E. 2</w:t>
      </w:r>
    </w:p>
    <w:p>
      <w:r>
        <w:t>All'appello il convenuto allega la petizione di divorzio introdotta dalla moglie il 5 febbraio 2016 con il relativo decreto d'intimazione (doc. A), le quietanze di pagamento inerenti alle rate mensili di due mutui ipotecari scadute il 1° febbraio 2016 (doc. B), i contratti di locazione stipulati il 24 febbraio 2014 per due appartamenti a N__________ di cui egli è comproprietario insieme con una terza persona (doc. C), una lettera del 29 febbraio 2016 riguardante la disdetta di uno dei due contratti di locazione (doc. D), una lettera 25 giugno 2015 della precedente patrocinatrice della moglie (doc. E) e gli avvisi di addebito concernenti otto versamenti in favore della moglie, dal 23 settembre 2013 al 10 settembre 2014 (doc. F). L'istante contesta la ricevibilità di simili documenti. Nuovi fatti e nuovi mezzi di prova sono proponibili in appello se vengono immediatamente addotti e se dinanzi alla giurisdizione inferiore non era possibile farli valere nemmeno con la diligenza esigibile, tenuto conto delle circostanze (art. 317 cpv. 1 CPC). In concreto sarebbero ricevibili quindi, tutt'al più, i doc. A e B, successivi alle arringhe finali del</w:t>
      </w:r>
    </w:p>
    <w:p>
      <w:r>
        <w:rPr>
          <w:b/>
        </w:rPr>
        <w:t>E. 4</w:t>
      </w:r>
    </w:p>
    <w:p>
      <w:r>
        <w:t>novembre 2015, così come il doc. D, successivo finanche alla decisione impugnata. Per quel che è degli altri, l'appellante sostiene di essere stato sorpreso dal giudizio impugnato, che egli supponeva riguardare unicamente l'affidamento della figlia e non anche il pagamento di contributi alimentari arretrati (replica, pag. 1). Sta di fatto che la moglie postulava un contributo alimentare per B__________ già con l'istanza del 21 giugno 2013 (pag. 2) e ha ribadito la richiesta alle arringhe finali del 4 novembre 2015 (pag. 2 in alto). La giustificazione dell'appellante non è quindi attendibile. Comunque sia , e come si vedrà in appresso (consid.</w:t>
      </w:r>
    </w:p>
    <w:p>
      <w:r>
        <w:rPr>
          <w:b/>
        </w:rPr>
        <w:t>E. 6</w:t>
      </w:r>
    </w:p>
    <w:p>
      <w:r>
        <w:t>L'appellante si duole che il Pretore non ha reputato verosimile il provento da lui indicato delle locazioni dei due appartamenti da lui posseduti in comproprietà con un terzo né l'ammontare degli oneri ipotecari a suo carico. Fa valere altresì che il 29 feb­braio 2016 i conduttori di un appartamento hanno dato disdetta, sicché dal giugno del 2016 egli dovrà sopportare ulteriori spese per almeno € 650.00 mensili. In realtà nella sentenza impugnata il Pretore ha ricordato che il convenuto dichiarava sì di avere appigionato dal 1° marzo 2014 due appartamenti (in com­proprietà con un terzo) a N__________, ricavando € 700.00 netti mensili, ma asseriva anche di dover far fronte alla sua quota di mutuo ipotecario per € 2300.00 mensili, affermazioni che egli ha ritenuto non documentate né verosimili, l'introito delle locazioni risultando di gran lunga inferiore agli oneri ipotecari. Visto tuttavia che il reddito dall'attività lucrativa conseguito da AP 1 risulta sufficiente per finanziare il fabbisogno minimo di lui e quello in denaro della figlia, il Pretore ha rinunciato a considerare eventuali redditi della sostanza immobiliare (sentenza impugnata, pag. 6 in fondo). a) Contrariamente all'opinione del Pretore, non può dirsi che il convenuto non abbia reso verosimile l'entità degli oneri ipotecari. A prescindere dalle quietanze che concernono il pagamento delle rate mensili di due mutui ipotecari scadute il 1° febbraio 2016, prodotte in appello (doc. B), agli atti figurano due analoghi documenti riguardanti le “rate mensili” scadute il 1° no­vembre 2013, che attestano esborsi complessivi per quel mese di € 2855.93 ed € 1702.07 (doc. 22). Non constano invero giustificativi sui proventi delle locazioni, ma non risulta nemmeno che il convenuto sia stato sollecitato a produrli (ordinanza del 27 maggio 2014). Inoltre l'interessato ha accluso all'appello la disdetta di uno dei contratti di locazione per la fine di giugno 2016 (doc. D), anche se ciò non basta per rendere verosimile che gli fosse impossibile trovare un nuovo conduttore. b) Sia come sia, e indipendentemente da quel che precede, i l sostentamento della famiglia prevale sul rimborso di debiti verso terzi, quand'anche si tratti di debiti contratti per l'economia domestica (DTF 127 III 292 consid. 2a/bb con rinvii; sentenza del Tribunale federale 5A_1029/2015  del 1° giugno 2016 consid. 3.3.1.3; I CCA, sentenza inc. 11.2014.38 del 27 settembre 2014 consid. 12b con riferimenti). Il mantenimento dei figli avendo la precedenza sul rimborso di debiti bancari, l'ap­pellante non può dunque pretendere di finanziare l'operazione immobiliare a scapito della figlia. Men che meno ove si pensi che le rate del mutuo ipotecario servono, più che al pagamento degli interessi, all'ammortamento del debito (doc. 22: “quota ammortamento capitale” di € 2330.06 ed € 1205.01 mensili; doc. B di appello: € 2460.41 ed € 1291.75 mensili su rate complessive di € 2747.90 ed € 1632.51 mensili). E senza dimenticare che, pur non riconoscendo oneri ipotecari, il Pretore non ha imputato al­l'appellante redditi da locazione. Anche nel risultato la sentenza impugnata resiste dunque alla critica.</w:t>
      </w:r>
    </w:p>
    <w:p>
      <w:r>
        <w:rPr>
          <w:b/>
        </w:rPr>
        <w:t>E. 7</w:t>
      </w:r>
    </w:p>
    <w:p>
      <w:r>
        <w:t>Per quanto attiene al proprio reddito da indipendente, il convenuto ribadisce di avere recato ogni documento a disposizione, facendo valere che le sue dichiarazioni d'imposta non sono mai state rettificate dall'autorità fiscale e sono pienamente attendibili. Il suo reddito di € 3000.00 mensili corrisponde perciò, al cambio euro-franco di 1.21, a un guadagno lordo di non oltre fr. 62 800.– annui. Secondo l'appellante poi il Pretore ha trascurato che i suoi conti economici riportano dati al lordo delle imposte. Egli rimprovera infine al Pretore di avere applicato il tasso di cambio euro-franco di 1.21, mentre oggi tale cambio è calato di molto, come inferiori risultano di conseguenza le sue entrate. a) Ci si potrebbe domandare se, così argomentando, il convenuto abbia motivato l'appello a sufficienza (nel senso del­l'art. 311 cpv. 1 CPC) , giacché contestazioni pecuniarie vanno cifrate, sotto pena di irricevibilità (DTF 137 III 617). Nella fattispecie il convenuto non indica a quanto debba essere fissato il proprio reddito né, ancor meno, quali effetti comporterebbe il correttivo ai fini del contributo alimentare per la figlia. Comunque sia, si volesse anche presumere che l'interessato chieda di accertare il proprio reddito in € 3000.00 mensili netti (da convertire al tasso di cambio attuale), ciò non influirebbe – come si vedrà senza indugio – sull'esito del giudizio. b) Nella sentenza impugnata il Pretore ha calcolato le entrate da attività lucrativa indipendente del marito mediando i redditi che si evincono dalle dichiarazioni d'imposta 2009 e 2010 con gli utili risultanti dai conti economici dello studio legale nel 2011, nel 2012 e nei primi nove mesi del 2013, ottenendo un introito netto di fr. 4430.– mensili sulla base di un tasso di cambio euro-franco di 1.21. È notorio tuttavia che la Banca Nazionale Svizzera ha abbandonato il tasso di cambio fisso euro-franco di 1.20 nel gennaio del 2015 e che dopo di allora il valore di conversione si è attestato attorno all'1.10 indicato dall'appellante. Il saggio di 1.21 applicato dal primo giudice poteva valere quindi per determinare i redditi dell'interessato dal mese di giugno del 2013 al mese di dicembre del 2014, ma non in seguito, per tacere del fatto che operare una media fra dati di varia fonte e di periodi diversi – come ha fatto il primo giudice – non porta necessariamente a risultati attendibili. c) Ciò posto, la questione è che, pur presumendo un reddito del convenuto di € 3000.00 mensili netti , nulla muterebbe ai fini del giudizio. Il marito trascura in effetti che il Pretore ha inserito nel suo fabbisogno minimo un carico fiscale di fr. 1200.– mensili, come nel fabbisogno minimo della moglie (sentenza impugnata, pag. 7). Volendosi attenere a un'entrata di € 3000.00 mensili al netto delle imposte (come sottintende il convenuto: appello, 3° foglio in basso e 4° foglio in alto; replica in appello del 27 maggio 2016, 2° foglio), l'onere fiscale dovrebbe essere stralciato dal fabbisogno minimo, per il resto incontestato. Fino al dicembre del 2014 l'interessato fruiva così di un margine disponibile di fr. 1760.– mensili (reddito di fr. 3600.– mensili netti, ossia € 3000.00 al tasso di cambio di circa 1.20, dedotto il fabbisogno minimo di fr. 1840.–, senza l'onere fiscale) e dopo il gennaio del 2015 di fr. 1460.– mensili (reddito di fr. 3300.– mensili netti, ossia € 3000.00 al tasso di cambio di circa 1.10, dedotto il fabbisogno minimo di fr. 1840.–, senza l'onere fiscale; per la media dei tassi di cambio in tali periodi v. ‹ www.fxtop.com/it/tassi-cambio-storici › ). Nulla mute rebbe in definitiva ai fini del giudizio, il convenuto disponendo in ogni modo di risorse sufficienti, una volta coperto il proprio fabbisogno minimo, per far fronte al contributo alimentare di fr. 1085.– mensili in favore della figlia.</w:t>
      </w:r>
    </w:p>
    <w:p>
      <w:r>
        <w:rPr>
          <w:b/>
        </w:rPr>
        <w:t>E. 8</w:t>
      </w:r>
    </w:p>
    <w:p>
      <w:r>
        <w:t>Relativamente al contributo di mantenimento per B__________, l'appellante adduce che “l'assegno di fr. 1085.– (…) dovrebbe scontare il medesimo cambio preso a parametro per il calcolo dei redditi”, sicché al tasso di cambio attuale risulta di circa € 900.00 , pari a fr. 990.– mensili. L'assunto non è pertinente. In concreto la figlia vive in Sviz­zera e il suo fabbisogno in denaro è di fr. 1085.– mensili (ciò che l'appellante non contesta), indipendentemente dalle variazioni legate al tasso di cambio euro-franco. Certo, il pagamento del contributo può riuscire più o meno gravoso per il padre, che consegue il proprio reddito in euro, ma ciò non significa che B__________ debba subirne le conseguenze. Per quanto possibile, la figlia ha diritto alla copertura del proprio fabbisogno in denaro. E, come si è appena visto, fino al dicembre del 2014 il convenuto fruiva di un margine disponibile di fr. 1760.– mensili, mentre dopo il gennaio del 2015 può pur sempre contare su un agio di fr. 1460.– mensili. Ha modo quindi di sostentare adeguatamente la figlia. Dovesse il suo margine ridursi sotto i fr. 1085.– mensili, egli potrà chiedere in ogni tempo al Pretore di rivedere l'obbligo alimentare a suo carico.</w:t>
      </w:r>
    </w:p>
    <w:p>
      <w:r>
        <w:rPr>
          <w:b/>
        </w:rPr>
        <w:t>E. 9</w:t>
      </w:r>
    </w:p>
    <w:p>
      <w:r>
        <w:t>L'appellante fa valere dipoi che, salvo le vacanze trascorse con la madre, la figlia è rimasta affidata a lui dalla metà del mese di ottobre del 2014 fino al­l'ago­sto 2015, sicché egli non può essere tenuto a versare contributi di mantenimento per quel periodo. Inoltre egli chiede che la moglie sia tenuta a versargli fr. 990.– mensili per il mantenimento della figlia su quell'arco di tempo, ovvero fr. 10 890.– complessivi. a) Gli atti confermano nel caso in esame che il 19 ottobre 2014 la figlia è stata affidata al padre, cui è stato attribuito il 21 ottobre 2014 anche l'uso dell'abitazione coniugale a __________ (verbale del 17 ottobre 2014, pag. 2). Dopo le ferie estive, il 18 agosto 2015, AP 1 ha lasciato la figlia alla madre ed è tornato a __________. AO 1 è rientrata allora nell'abitazione di __________ (lettera 19 ot­tobre 2015 della precedente legale dell'istante). Dal 19 ottobre 2014 al 18 agosto 2015 perciò l'appellante ha provveduto direttamente al fabbisogno in denaro di B__________. Si conviene che alle arringhe finali del 4 novembre 2015 la precedente legale del convenuto non ha fatto valere tale circostanza. Ma ciò non toglie che incombesse all'istante rendere verosimile la pretesa di contributi alimentari per la figlia durante l'affidamento al padre, giustificazione che l'interessata non ha minimamente addotto. Mal si comprende di conseguenza – né l'istante spiega – perché AP 1 andrebbe condannato a versare contributi di mantenimento per un lasso di tempo durante il quale si era fatto carico lui stesso del fabbisogno in denaro della figlia. Su questo punto l'appello si rivela provvisto di buon diritto e la decisione impugnata va riformata nel senso che l'obbligo contributivo del convenuto va soppresso dal 19 ottobre 2014 al 18 agosto 2015. b) Quanto alla richiesta di obbligare la moglie a versare i contributi alimentari per il mantenimento della figlia nel citato lasso di tempo, la pretesa non è stata nemmeno accennata alle arringhe finali del 4 novembre 2015. Formulata per la prima volta in appello senza essere fondata su fatti nuovi né su nuovi mezzi di prova, essa risulta quindi, già di primo acchito, irricevibile (art. 317 cpv. 2 CPC).</w:t>
      </w:r>
    </w:p>
    <w:p>
      <w:r>
        <w:rPr>
          <w:b/>
        </w:rPr>
        <w:t>E. 10</w:t>
      </w:r>
    </w:p>
    <w:p>
      <w:r>
        <w:t>L'appellante chiede che per quanto riguarda il periodo compreso fra il giugno del 2013 e il settembre del 2014 sia accertato un suo credito di fr. 2003.– per contributi alimentari versati in eccesso. Egli fa valere di avere corrisposto per il mantenimento di B__________ € 12 692.00 in ottemperanza a una decisio­ne del 14 ago ­sto 2013 con cui il presidente del Tribunale di __________, sezione IV civile, aveva omologato un accordo in cui egli si impegnava a erogare per la figlia un contributo alimentare di € 700.00 mensili, oltre a coprire la metà delle spese straordinarie. Anche tale domanda però è nuova senza essere fondata su fatti nuovi né su nuovi mezzi di prova. Va dichiarata così irricevibile (sopra, consid. 9b). Ciò non impedisce a AP 1 di compensare somme versate in esubero con l'ammontare di contributi alimentari futuri, men che meno ove si consideri che l'istante ha riconosciuto l'avvenuto versamento per la figlia di circa € 12</w:t>
      </w:r>
    </w:p>
    <w:p>
      <w:r>
        <w:rPr>
          <w:b/>
        </w:rPr>
        <w:t>E. 11</w:t>
      </w:r>
    </w:p>
    <w:p>
      <w:r>
        <w:t>Se ne conclude che l'appello merita parziale accoglimento. Le spese del giudizio odierno seguono il vicendevole grado di soccombenza (art. 106 cpv. 2 CPC). L'appellante ottiene la soppressione dell'obbligo alimentare in questione per 10 mesi (sugli 11 mesi richiesti), ma soccombe sia sulla pretesa volta a ridurre il contributo di mantenimento da fr. 1085.– a fr. 990.– mensili, sia sull'accertamento di un suo credito di fr. 2003.– per maggiori contributi versati tra il giugno del 2013 e il settembre del 2014, sia sulla postulata condanna dell'istante a rimborsargli l'importo di fr. 10 890.– complessivi. Tutto considerato, si giustifica in simili condizioni di porre gli oneri processuali per tre quarti a carico suo e per il resto a carico della controparte. AP 1 rifonderà altresì alla moglie che ha presentato osservazioni per il tramite di un patrocinatore, un'equa indennità a titolo di ripetibili ridotte (un mezzo dell'indennità piena: RtiD II-2016 pag. 638 n. 24c). Per quel che riguarda le spese e le ripetibili di primo grado, l'esito dell'attuale giudizio non influisce apprezzabilmente sulla decisione del Pretore, che ha suddiviso gli oneri processuali a metà e ha compensato le ripetibili, “tenuto conto dell'esito e della natura del procedimento” (sentenza impugnata, pag. 7 in basso). Nel­l'ap­pello il convenuto chiede invero di modificare il dispositivo di prima sede, ponendo tre quarti delle spese a carico dell'istante, con obbligo per quest'ultima di rifondergli fr. 5000.– a titolo di ripetibili. La domanda non ha tuttavia portata propria (tanto che non è neppure motivata), ma presuppone l'accoglimento del­l'appello nei termini proposti dal convenuto. In realtà, come si è appena visto, l'accoglimento meramente parziale dell'appello non giustifica una chiave di riparto diversa rispetto a quella adottata dal Pretore. Il dispositivo del primo giudice può quindi rimanere invariato.</w:t>
      </w:r>
    </w:p>
    <w:p>
      <w:r>
        <w:rPr>
          <w:b/>
        </w:rPr>
        <w:t>E. 12</w:t>
      </w:r>
    </w:p>
    <w:p>
      <w:r>
        <w:t>Circa i rimedi esperibili contro l'odierna sentenza sul piano federale (art. 112 cpv. 1 lett. d LTF), l'entità di contributi alimentari litigiosi davanti a questa Camera (oltre fr. 46 800.–) raggiunge agevolmente la soglia di fr. 30 000.– nella prospettiva dell'art. 74 cpv. 1 lett. b LTF. Per questi motivi, decide: 1. Nella misura in cui è ricevibile, l'appello è parzialmente accolto, nel senso che il dispositivo n. 3 della sentenza impugnata è così riformato: AP 1 è condannato a versare a AO 1, anticipatamente entro il 5 di ogni mese, un contributo alimentare per la figlia B__________ di fr. 1085.– dal 1° giugno 2013 al 18 ottobre 2014 e dal 19 agosto 2015 in poi. 2. Le spese processuali di fr. 750.–, da anticipare dall'appellante, sono poste per tre quarti a carico di quest'ultimo e per il resto a carico di AO 1, cui l'appellante rifonderà fr. 800.– per ripetibili ridotte. 3.   Notificazione: – avv.; – avv. dott..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