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11.2016.121 vom 29. November 2016</w:t>
      </w:r>
    </w:p>
    <w:p>
      <w:r>
        <w:t>TI Tribunale d'appello, 2016-11-29, IT</w:t>
      </w:r>
    </w:p>
    <w:p>
      <w:r>
        <w:rPr>
          <w:b/>
        </w:rPr>
        <w:t xml:space="preserve">Quelle: </w:t>
      </w:r>
      <w:r>
        <w:t>https://mcp.opencaselaw.ch/entscheid/ti_gerichte_11.2016.121</w:t>
      </w:r>
    </w:p>
    <w:p>
      <w:r>
        <w:t>FR: TI_GERICHTE 11.2016.121 du 29 novembre 2016</w:t>
      </w:r>
    </w:p>
    <w:p>
      <w:r>
        <w:t>IT: TI_GERICHTE 11.2016.121 del 29 novembre 2016</w:t>
      </w:r>
    </w:p>
    <w:p>
      <w:pPr>
        <w:pStyle w:val="Heading2"/>
      </w:pPr>
      <w:r>
        <w:t>Regeste</w:t>
      </w:r>
    </w:p>
    <w:p>
      <w:r>
        <w:t>Condono di spese processuali</w:t>
      </w:r>
    </w:p>
    <w:p>
      <w:pPr>
        <w:pStyle w:val="Heading2"/>
      </w:pPr>
      <w:r>
        <w:t>Erwägungen</w:t>
      </w:r>
    </w:p>
    <w:p>
      <w:r>
        <w:rPr>
          <w:b/>
        </w:rPr>
        <w:t>E. 12</w:t>
      </w:r>
    </w:p>
    <w:p>
      <w:r>
        <w:t>ad art. 112; Rüegg in: Basler Kommentar, ZPO, 2ª edizione, n. 1a ad art. 112); che tale giudice fa capo per analogia, statuendo sulla domanda di dilazione o di condono, alle norme sulla procedura sommaria ( Tappy , op. cit., n. 14 ad art. 112 CPC); che per ottenere un condono di spese processuali il richiedente deve rendere verosimile come il pagamento di tali oneri rischi di esporlo durevolmente a gravi ristrettezze e come nessun miglioramento della sua situazione economica sia da attendere per gli anni a venire ( Tappy , op. cit., n. 10 ad art. 112; F ischer in: Baker &amp; M c Kenzie [curatori], Schweizerische ZPO, Berna 2010, n. 8 ad art. 112); che tali presupposti vanno esaminati con rigore (sentenza del Tribunale federale 5D_191/2015 del 22 gennaio 2016, consid. 4.1.1 in fine), il richiedente non dovendo trovarsi privilegiato rispetto a chi ottiene il beneficio del gratuito patrocinio, il quale è assoggettato all'obbligo decennale di rimborso nei confronti dello Stato (art. 123 cpv. 2 CPC); che in concreto IS 1 motiva la domanda di condono con un peggioramento del proprio ‟disagio economicoˮ, dovendo egli far fronte a pagamenti mensili di fr. 68.– all'Autorità regionale di protezione 2 e di fr. 50.– mensili allo Stato del Cantone Ticino, come pure assumere le spese di trasferta nella zona di __________ per esercitare il diritto di visita settimanale alla figlia; che il solo fatto di dover versare fr. 118.– di rate mensili e di dover affrontare una trasferta settimanale nel Canton Zurigo ancora non sostanziano ristrettezze economiche gravi e durature, né rendono verosimile una situazione finanziaria non suscettibile di migliorare nel corso degli anni; che la prognosi negativa testé accennata appare tanto meno attendibile nel caso di un soggetto ancora relativamente giovane, nato nel 1970, il quale dovrebbe per lo meno rendere plausibile l'impossibilità di far fronte a impegni correnti seri, ma non particolarmente gravosi; che nella sentenza del 5 luglio 2016 questa Camera aveva già moderato sensibilmente le spese processuali per tenere conto delle possibili difficoltà economiche in cui versava l'appellante (consid. 8), sicché incombeva a quest'ultimo documentare nella richiesta in che misura la sua situazione fosse peggiorata dopo di allora; che invano si cercherebbe una qualsiasi motivazione al proposito nella richiesta, la quale si esaurisce laconicamente in quattro righe; che nelle circostanze descritte non soccorrono lontanamente i requisiti per un condono; che per quanto riguarda i rimedi esperibili sul piano federale contro l'attuale decisione (art. 112 cpv. 1 lett. d LTF), il valore litigioso di fr. 250.– non raggiunge la soglia di fr. 30 000.– ai fini dell'art. 74 cpv. 1 lett. b LTF; decide: 1.  La richiesta di condono è respinta. 2.  Non si riscuotono spese. 3.  Notificazione a. Comunicazione allo Stato del Cantone Ticino, Ufficio dell'incasso e delle pene alternative, Torricella.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