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11.2016.11 vom 27. April 2016</w:t>
      </w:r>
    </w:p>
    <w:p>
      <w:r>
        <w:t>TI Tribunale d'appello, 2016-04-27, IT</w:t>
      </w:r>
    </w:p>
    <w:p>
      <w:r>
        <w:rPr>
          <w:b/>
        </w:rPr>
        <w:t xml:space="preserve">Quelle: </w:t>
      </w:r>
      <w:r>
        <w:t>https://mcp.opencaselaw.ch/entscheid/ti_gerichte_11.2016.11</w:t>
      </w:r>
    </w:p>
    <w:p>
      <w:r>
        <w:t>FR: TI_GERICHTE 11.2016.11 du 27 avril 2016</w:t>
      </w:r>
    </w:p>
    <w:p>
      <w:r>
        <w:t>IT: TI_GERICHTE 11.2016.11 del 27 aprile 2016</w:t>
      </w:r>
    </w:p>
    <w:p>
      <w:pPr>
        <w:pStyle w:val="Heading2"/>
      </w:pPr>
      <w:r>
        <w:t>Regeste</w:t>
      </w:r>
    </w:p>
    <w:p>
      <w:r>
        <w:t>Divorzio: provvedimenti cautelari</w:t>
      </w:r>
    </w:p>
    <w:p>
      <w:pPr>
        <w:pStyle w:val="Heading2"/>
      </w:pPr>
      <w:r>
        <w:t>Erwägungen</w:t>
      </w:r>
    </w:p>
    <w:p>
      <w:r>
        <w:rPr>
          <w:b/>
        </w:rPr>
        <w:t>E. 000</w:t>
      </w:r>
    </w:p>
    <w:p>
      <w:r>
        <w:t>secondo l'ultima conclusione riconosciuta nella decisione impugnata (art. 308 cpv. 2 CPC). Nella fattispecie l'adozione del decreto cautelare è stata preceduta da un'udienza il 13 ottobre 2015 (sopra, lett. C) e l'esercizio di un diritto di visita non è una questione patrimoniale (cfr. DTF 112 II 291 consid. 1) . Quanto alla decisione del Pretore, essa è stata notificata al patrocinatore di AP 1 il 16 feb­braio 2016. Presentato il 26 febbraio successivo, ultimo giorno utile, l'appello in esame è di conseguenza tempestivo.</w:t>
      </w:r>
    </w:p>
    <w:p>
      <w:r>
        <w:rPr>
          <w:b/>
        </w:rPr>
        <w:t>E. 2</w:t>
      </w:r>
    </w:p>
    <w:p>
      <w:r>
        <w:t>Nell'ambito di una causa di divorzio “il giudice prende i necessari provvedimenti cautelari” (art. 276 cpv. 1 CPC) anche per quanto concerne i figli. E in pendenza di causa i genitori che non sono detentori dell'autorità parentale o della custodia, come pure il figlio minorenne, hanno reciprocamente il diritto di conservare le relazioni personali indicate dalle circostanze (art. 273 cpv. 1 CC). Si tratta di un diritto e di un dovere reciproco, da definire in primo luogo secondo il bene del minorenne alla luce delle particolarità concrete (DTF 122 III 232 consid. 3a/bb, 406 consid. 3b; v. anche DTF 131 III 212 consid. 5). Ora, è unanimemente riconosciuto che per uno sviluppo equilibrato del figlio il rapporto con entrambi i genitori risulta essenziale, quantunque i genitori stiano divorziando (DTF 127 III 298 consid. 4a con numerosi riferimenti). I contatti di un figlio con il genitore non affidatario meritano dunque di essere promossi per quanto possibile. Eventuali conflitti tra coniugi non sono motivi sufficienti per restringere – né tanto meno per sopprimere – il diritto alle relazioni personali (DTF 131 III 209).</w:t>
      </w:r>
    </w:p>
    <w:p>
      <w:r>
        <w:rPr>
          <w:b/>
        </w:rPr>
        <w:t>E. 3</w:t>
      </w:r>
    </w:p>
    <w:p>
      <w:r>
        <w:t>Il Pretore aggiunto ha motivato la propria decisione, nel decreto cautelare impugnato, con l'argomento che la modifica dell'assetto provvisionale decretato il 13 febbraio 2015 si iscrive nel quadro degli accordi intercorsi fra le parti, la stessa attrice avendo dichiarato nelle proprie osservazioni del 23 ottobre 2015 di consentire a “organizzare il graduale trasferimento del diritto di visita” oltralpe dopo il marzo del 2016, a condizione di definire un luogo stabile di pernottamento e delle visite al bambino. Onde il parziale trasferimento delle relazioni tra padre e figlio a __________ mediante un procedimento mensile a tappe (senza pernottamento dal padre la prima volta, con un pernottamento dal padre la seconda e con due pernottamenti dalla terza volta in poi), salvo diverso accordo tra genitori. Dovesse il tentativo fallire – ha rilevato il Pretore aggiunto – occorrerà “ordinare un ascolto per il tramite di un esperto al fine di determinare le migliori modalità di esercizio nell'interesse di L__________”.</w:t>
      </w:r>
    </w:p>
    <w:p>
      <w:r>
        <w:rPr>
          <w:b/>
        </w:rPr>
        <w:t>E. 4</w:t>
      </w:r>
    </w:p>
    <w:p>
      <w:r>
        <w:t>L'appellante sostiene che la regolamentazione delle visite prevista nel decreto impugnato non è attuabile perché la sera essa non saprebbe dove far dormire il figlio, non potendo permettersi un albergo e nemmeno tenere il bambino con sé nel­l'apparta­mento di chi la ospita per una o due notti settimanali quando lavora a __________. Essa disconosce tuttavia che tale problema si porrà solo per il primo ed, eventualmente, il secondo esercizio del diritto di visita fuori del Cantone Ticino. Dalla terza volta in poi il figlio rimarrà due notti con AO 1, il cui padre e la sorella abitano nella regione, ciò che non le causerà spese supplementari. Quanto al paio di notti complessive da trascorrere in albergo con il figlio, l'interessata non ha mai preteso che fossero troppo onerose per lei né ha chiesto al Pretore aggiunto di obbligare il marito ad assumere o ad anticipare la spesa. Al riguardo non giova pertanto diffondersi.</w:t>
      </w:r>
    </w:p>
    <w:p>
      <w:r>
        <w:rPr>
          <w:b/>
        </w:rPr>
        <w:t>E. 5</w:t>
      </w:r>
    </w:p>
    <w:p>
      <w:r>
        <w:t>Afferma l'appellante che la disciplina delle relazioni personali prospettata nel decreto cautelare non è adeguata perché le imporrebbe di rientrare nel Ticino con il bambino dopo la fine del lavoro, affrontando quattro ore di trasferta in treno. Per quel che è del figlio, tuttavia, non si vede come mai L__________ potrebbe sopportare il viaggio di andata e non quello di ritorno nei giorni successivi, tanto meno ove si consideri che la stessa AP 1 aveva dichiarato di consentire al “graduale trasferimento del diritto di visita” oltralpe dopo il marzo del 2016 (sopra, lett. C). L'appellante, da parte sua, non pretende di trattenersi a __________ più di due notti la settimana (memoriale, pag. 3, punto 10), sicché mal si capisce perché dopo la fine del lavoro essa può rientrare nel Ticino quando è sola, ma non quando è con il figlio. Anche su questo punto l'appello è destinato pertanto all'insuccesso.</w:t>
      </w:r>
    </w:p>
    <w:p>
      <w:r>
        <w:rPr>
          <w:b/>
        </w:rPr>
        <w:t>E. 6</w:t>
      </w:r>
    </w:p>
    <w:p>
      <w:r>
        <w:t>A parere dell'appellante il regime delle visite decretato dal Pretore aggiunto è “totalmente irrealistico e al di fuori della [di lei] portata”, dal momento che AO 1 versa per L__________ un contributo provvisionale di appena fr. 250.– mensili. Se non che, non fosse in grado di sopperire alle spese di viaggio per il figlio allorché il marito conduce – pare – “una vita molto agiata” (memoriale, pag. 2 in fondo), l'appellante avrebbe dovuto chiedere (e quantificare) un aumento del contributo in favore di L__________. Essa si è limitata invece a lamentare davanti al Pretore aggiunto l'esigua som­ma corrisposta da AO 1. Solo dinanzi a questa Camera essa sollecita il versamento di fr. 2025.– mensili per il figlio (oltre a fr. 2000.– mensili per sé), ma ciò non è ammissibile, nuove domande essendo proponibili in appello unicamente ove ricorrano i requisiti cumulativi dell'art. 317 cpv. 2 CPC (ipotesi cui l'appellante neppure accenna). Ne segue che in proposito l'appello sfugge a ogni esame</w:t>
      </w:r>
    </w:p>
    <w:p>
      <w:r>
        <w:rPr>
          <w:b/>
        </w:rPr>
        <w:t>E. 7</w:t>
      </w:r>
    </w:p>
    <w:p>
      <w:r>
        <w:t>Per l'appellante “non è possibile modificare l'attuale assetto di visita del bambino senza una approfondita indagine della fattispecie, la protezione del minore tramite un'apposita figura, l'ascolto dello stesso tramite esperto” (memoriale, pag. 4 in fondo). L'assunto è infondato. Il potere cognitivo di un giudice chiamato a emanare provvedimenti d'urgenza è puramente sommario, circoscritto alla verosimiglianza (art. 261 cpv. 1 CPC), sicché “approfondite indagini” vanno esperite se mai nella causa di merito, non in sede provvisionale. Quanto all'audizione di figli di età inferiore ai sei anni, essa non entra per principio in linea di conto (DTF 131 III 553). In considerazione potrebbe entrare tutt'al più la designazione di un curatore educativo (art. 308 cpv. 2 CC) preposto alla vigilanza delle relazioni personali con il figlio (RtiD I-2005 pag. 785 consid. 12a), ma ciò è a dir poco prematuro, non potendosi scorgere difficoltà nell'esercizio del diritto di visita a __________ prima ancora che esso cominci. Se ne conclude in definitiva che, privo di reale consistenza, l'appello vede la sua sorte segnata.</w:t>
      </w:r>
    </w:p>
    <w:p>
      <w:r>
        <w:rPr>
          <w:b/>
        </w:rPr>
        <w:t>E. 8</w:t>
      </w:r>
    </w:p>
    <w:p>
      <w:r>
        <w:t>L'emanazione del presente giudizio rende caduca l'istanza di effetto sospensivo contenuta nell'appello. Superate risultano altresì le richieste di prova avanzate da AO 1 nelle osservazioni all'appello (pag. 7 in fondo). Devono essere nuovamente fissate invece le scadenze che il Pretore aggiunto ha stabilito nel terzo dispositivo del decreto impugnato per l'avvio del diritto di visita a __________ (mercoledì 9 marzo 2016 la prima volta, entro venerdì 15 aprile 2016 la seconda), decorse in pendenza di appello.</w:t>
      </w:r>
    </w:p>
    <w:p>
      <w:r>
        <w:rPr>
          <w:b/>
        </w:rPr>
        <w:t>E. 9</w:t>
      </w:r>
    </w:p>
    <w:p>
      <w:r>
        <w:t>Le spese dell'attuale decisione seguono la soccombenza del­l'ap­pellante (art. 106 cpv. 1 CPC). AO 1, che ha formulato osservazioni con l'assistenza di un avvocato, ha diritto a un'equa indennità per ripetibili, commisurata al dispendio di tempo che un legale solerte e conciso avrebbe impiegato per rispondere a un appello le cui censure si compendiavano sostanzialmente in una ventina di righe (pag. 4, dalla metà in poi). L'indennità per ripetibili non risultando di difficile o di impossibile incasso, la richiesta di gratuito patrocinio diviene così senza oggetto (DTF 133 I 248 consid. 3 in fine), per tacere del fatto ch'essa era lungi dal risultare documentata.</w:t>
      </w:r>
    </w:p>
    <w:p>
      <w:r>
        <w:rPr>
          <w:b/>
        </w:rPr>
        <w:t>E. 10</w:t>
      </w:r>
    </w:p>
    <w:p>
      <w:r>
        <w:t>Relativamente ai rimedi giuridici esperibili contro l'odierna sentenza sul piano federale (art. 112 cpv. 1 lett. d LTF), le decisioni inerenti alla disciplina di un diritto di visita sono impugnabili con ricorso in materia civile senza riguardo a questioni di valore (sopra, consid. 1 ). L'impugnabilità del dispositivo sul gratuito patrocinio – di natura incidentale – segue quella decisione principale (art. 51 cpv. 1 lett. c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