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11.2014.21 vom 21. August 2012</w:t>
      </w:r>
    </w:p>
    <w:p>
      <w:r>
        <w:t>TI Tribunale d'appello, 2012-08-21, IT</w:t>
      </w:r>
    </w:p>
    <w:p>
      <w:r>
        <w:rPr>
          <w:b/>
        </w:rPr>
        <w:t xml:space="preserve">Quelle: </w:t>
      </w:r>
      <w:r>
        <w:t>https://mcp.opencaselaw.ch/entscheid/ti_gerichte_11.2014.21_d20120821</w:t>
      </w:r>
    </w:p>
    <w:p>
      <w:r>
        <w:t>FR: TI_GERICHTE 11.2014.21 du 21 août 2012</w:t>
      </w:r>
    </w:p>
    <w:p>
      <w:r>
        <w:t>IT: TI_GERICHTE 11.2014.21 del 21 agosto 2012</w:t>
      </w:r>
    </w:p>
    <w:p>
      <w:pPr>
        <w:pStyle w:val="Heading2"/>
      </w:pPr>
      <w:r>
        <w:t>Regeste</w:t>
      </w:r>
    </w:p>
    <w:p>
      <w:r>
        <w:t>Sostituzione di un'ipoteca legale provvisoria degli artigiani e imprenditori con una garanzia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