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11.2014.14 vom 25. Juli 2016</w:t>
      </w:r>
    </w:p>
    <w:p>
      <w:r>
        <w:t>TI Tribunale d'appello, 2016-07-25, IT</w:t>
      </w:r>
    </w:p>
    <w:p>
      <w:r>
        <w:rPr>
          <w:b/>
        </w:rPr>
        <w:t xml:space="preserve">Quelle: </w:t>
      </w:r>
      <w:r>
        <w:t>https://mcp.opencaselaw.ch/entscheid/ti_gerichte_11.2014.14</w:t>
      </w:r>
    </w:p>
    <w:p>
      <w:r>
        <w:t>FR: TI_GERICHTE 11.2014.14 du 25 juillet 2016</w:t>
      </w:r>
    </w:p>
    <w:p>
      <w:r>
        <w:t>IT: TI_GERICHTE 11.2014.14 del 25 luglio 2016</w:t>
      </w:r>
    </w:p>
    <w:p>
      <w:pPr>
        <w:pStyle w:val="Heading2"/>
      </w:pPr>
      <w:r>
        <w:t>Regeste</w:t>
      </w:r>
    </w:p>
    <w:p>
      <w:r>
        <w:t>Protezione della personalità: provvedimenti cautelari nei confronti di mass media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decisione impugnata è un decreto cautelare emesso prima che l'istante promuovesse causa (art. 263 CPC). Ora, le decisioni in materia di provvedimenti cautelari sono impugnabili con appello, trattandosi di procedura sommaria (art. 248 lett. d CPC), entro 10 giorni dalla notificazione (art. 314 cpv. 1 CPC). Se esse vertono su questioni meramente patrimoniali, tuttavia, l'appello è ammissibile soltanto se il valore litigioso raggiunge almeno fr. 10 000.– “secondo l'ultima conclusione riconosciuta nella decisione” impugnata (art. 308 cpv. 2 CPC). In concreto tale esigenza non si pone, un'azione volta alla protezione della personalità non avendo – salvo casi estranei alla fattispecie – natura patrimoniale (RtiD II-2015 pag. 785 consid. 1 con rinvii). Q uanto alla tempestività del rimedio giuridico, la decisione impugnata è stata notificata ai convenuti il 17 febbraio 2014 (timbro postale sulla busta d'intimazione). Introdotto il 24 febbraio 2014, l'appello è in esame è pertanto ricevibile.</w:t>
      </w:r>
    </w:p>
    <w:p>
      <w:r>
        <w:rPr>
          <w:b/>
        </w:rPr>
        <w:t>E. 2</w:t>
      </w:r>
    </w:p>
    <w:p>
      <w:r>
        <w:t>Nel decreto cautelare il Pretore ha ritenuto che le pubblicazioni censurate dall'istante adottano “un vocabolario espressivo e colorito”, ma nel loro insieme non appaiono lesive della personalità. Nella misura del resto in cui era stato qualificato come “sedicente professore”, l'istante aveva già ottenuto protezione grazie al­l'esercizio di un diritto di risposta e dopo di allora i convenuti non avevano più usato quella locuzione. Il __________ poi – ha continuato il Pretore – è un istituto della Città di __________, di modo che sussiste un interesse del contribuente (e del pubblico in genere) a conoscere qual è lo stipendio del direttore, qual è la tipologia del museo, qual è la funzione della struttura nel tessuto cittadino e qual è il ruolo dell'istante. Posto ciò, il Pretore ha reputato nondimeno che l'uso dell'epiteto “clientelare direttore” non fosse tollerabile, poiché evoca pratiche disoneste, favoritismi e scambi di impieghi, come inaccettabile è l'espressione “a vantag­gio dei suoi intrallazzi” oltre confine, che richiama l'idea di traffici illeciti, affari illegali e attività equivoche. Pur riconoscendo che “le lesioni di cui trattasi sono ormai datate nel tempo”, egli ha ravvisato una presunzione di reiterazione nel “corso ordinario delle cose” e nelle notorie difficoltà finanziarie in cui versa la Città di __________, che mettono “sotto pressione l'offerta culturale della stessa”. Onde il divieto a AP 2 e alla AP 3 di usare nuovamente quei termini nei confronti dell'istante e l'ordine a tutti i convenuti di rimuovere tali espressioni dai due siti internet, con obbligo di pubblicare il dispositivo del decreto cautelare sul __________ e sul sito __________</w:t>
      </w:r>
    </w:p>
    <w:p>
      <w:r>
        <w:rPr>
          <w:b/>
        </w:rPr>
        <w:t>E. 3</w:t>
      </w:r>
    </w:p>
    <w:p>
      <w:r>
        <w:t>Gli appellanti sostengono anzitutto che chi accetta di svolgere una pubblica funzione, soprattutto se ben retribuita, deve tollerare anche “maggiori ingerenze nella sua personalità”. Essere “clientelare” – essi affermano – significa unicamente “concedere vantaggi a chi può offrire un contraccambio”. Non è un complimento, ma non è nemmeno una lesione della personalità. Quanto agli “intrallazzi” oltre confine, i convenuti ricordano di avere rimproverato all'istante di avere acquistato a caro prezzo una mostra “considerata fallimentare sul __________ dalla Città di __________, del cui sindaco l'appellato sarebbe stato consulente”. Essi definiscono quindi la loro critica “incisiva”, ma compatibile con la libertà di espressione e la libertà di stampa. A prescindere da ciò, essi contestano che il decreto cautelare si giustificasse sotto il profilo dell'urgenza, l'istante avendo “temporeggiato parecchi mesi a partire da quando ha saputo del pregiudizio o del rischio di pregiudizio” prima di adire il giudice. Il termine “clientelare direttore” è stato usato infatti – essi adducono – sul __________ il 10 aprile 2011, mentre quello di “intrallazzi fallitalici” il 18 novembre e il 2 dicembre 2012, senza che l'istante reagisse. A distanza di anni – essi soggiungono – non sussiste più alcun rischio di reiterazione. Il decreto impugnato va quindi riformato nel senso di respingere interamente l'istanza cautelare di</w:t>
      </w:r>
    </w:p>
    <w:p>
      <w:r>
        <w:rPr>
          <w:b/>
        </w:rPr>
        <w:t>E. 4</w:t>
      </w:r>
    </w:p>
    <w:p>
      <w:r>
        <w:t>Nel decreto cautelare il Pretore ha fissato all'istante un termine di 30 giorni per promuovere l'azione di merito, con l'avvertenza che in caso contrario i provvedimenti cautelari sarebbero decaduti (dispositivo n. 5). AO 1 ha tempestivamente intentato causa il 14 marzo 2014 (inc. SE.2014.116 della Pretura del Distretto di Lugano, sezione 1), ma solo contro AP 2 e la AP 1 non è stato convenuto in giudizio. Le ingiunzioni cautelari nei confronti di lui sono quindi venute a cadere e per quanto lo concerne l'appello è diventato senza oggetto. AO 1 inoltre non ha (più) chiesto di rimuovere le espressioni litigiose dal sito __________ né dall'archivio del __________ (dispositivo n. 2). I relativi ordini sono decaduti così anche nei confronti di AP 2 e della AP 3, il cui appello è divenuto al proposito senza oggetto. L'appello di AP 2 e della AP 3 conserva invece la sua attualità per quanto riguarda il divieto loro impartito di “scrivere e/o far divulgare” – ossia di reiterare facendo capo a mass media periodici – le espressioni “clientelare direttore” e “a vantaggio dei suoi intrallazzi” nei confronti dell'istante (dispositivo n. 1), compresa la comminatoria di sanzioni in caso di inosservanza (dispositivo n. 3) e l'ingiunzione di pubblicare il dispositivo del decreto cautelare, ad avvenuto passaggio in giudicato, sul __________ e sul sito __________ (dispositivo n. 4).</w:t>
      </w:r>
    </w:p>
    <w:p>
      <w:r>
        <w:rPr>
          <w:b/>
        </w:rPr>
        <w:t>E. 5</w:t>
      </w:r>
    </w:p>
    <w:p>
      <w:r>
        <w:t>Secondo l'art. 266 CPC il giudice può ordinare provvedimenti cautelari nei confronti dei “mass media periodici” soltanto se l'incombente lesione dei diritti è tale da poter causare dell'istante un pregiudizio particolarmente grave (lett. a), se manifestamente non vi è alcun motivo che giustifichi la lesione (lett. b) e se il provvedimento non appare sproporzionato (lett. c). Le tre condizioni sono cumulative. La norma riprende la disciplina dell'abrogato art. 28 c CC e ha lo scopo di evitare che misure provvisionali, tra cui divieti di pubblicazione e ordini intesi alla rimozione di articoli, si traducano in provvedimenti censori, incompatibili con la libertà di stampa ( Huber in: Sutter-Somm/Hasen­böhler/Leuen­­ber­ger [curatori], Kommentar zur Schweizerischen ZPO, 3ª edi­zio­ne, n. 1 ad art. 266 con riferimenti; nel vecchio diritto: RtiD II-2009 pag. 640 consid. 2). Provvedimenti cautelari nei confronti di mass media periodici vanno emanati perciò con grande riserbo (SJ 108/1986 pag. 223 in fondo; Steinauer/Fountou­lakis , Droit des personnes physiques et de la protection de l'adulte, Berna 2014, pag. 254 n. 634).</w:t>
      </w:r>
    </w:p>
    <w:p>
      <w:r>
        <w:rPr>
          <w:b/>
        </w:rPr>
        <w:t>E. 6</w:t>
      </w:r>
    </w:p>
    <w:p>
      <w:r>
        <w:t>Ciò premesso, perché il divieto impartito a AP 2 e alla AP 3 di “scrivere e/o far divulgare” (ossia di reiterare facendo capo al __________ o ad altre pubblicazioni e media correlati al giornale o da loro controllati, in specie tramite il sito __________) le espressioni “clientelare direttore” e “a vantaggio dei suo intrallazzi” nei confronti del­l'istante si giustificasse occorreva – in primo luogo – che a un esame di verosimiglianza (come quello che presiede all'emanazione di provvedimenti cautelari: Bohnet in: CPC commenté, Basilea 2011, n. 4 e 5 ad art. 261 CPC) la reiterazione di quei termini apparisse incombente e suscettiva di causare alla personalità al­l'istante un pregiudizio particolarmente grave (art. 266 lett. a CPC). La reiterazione doveva denotare in altri termini un'offesa qualificata, più incisiva di una lesione che giustificasse l'adozione di provvedimenti cautelari in casi ordinari (RtiD II-2009 pag. 640 consid. 4; Bohnet , op. cit., n. 14 ad art. 266 CPC). Accertato ciò, occorreva verificare che manifestamente non vi fosse alcun valido motivo a sostegno della lesione (art. 266 lett. b CPC) e che il divieto giudiziale non apparisse sproporzionato (art. 266 lett. c CPC).</w:t>
      </w:r>
    </w:p>
    <w:p>
      <w:r>
        <w:rPr>
          <w:b/>
        </w:rPr>
        <w:t>E. 7</w:t>
      </w:r>
    </w:p>
    <w:p>
      <w:r>
        <w:t>Nella fattispecie il primo requisito da verificare è pertanto, dopo quanto si è spiegato, quello di accertare se la lesione alla personalità di AO 1 apparisse “incombente” ( imminente , drohend ). Tale è il caso in particolare, secondo giurisprudenza, quando il convenuto ha già commesso lesioni della personalità e sta per ripeterle o quando si ravvisano indizi concreti di un'imminente lesione. A tal fine non basta che sul­l'argo­mento siano già stati pubblicati articoli cui abbia fatto seguito un diritto di risposta dell'interessato. Occorre che il convenuto appaia in procinto di rinnovare la lesione originaria ( Steinauer/ Fountoulakis , op. cit., pag. 254 n. 634a con richiamo a SJ 108/ 1986 pag. 223 nel mezzo; Bohnet , op. cit., n. 13 ad art. 266), o perché ponga in atto preparativi in vista di ripetere la pubblicazione lesiva o perché contesti l'illiceità della precedente lesione (sentenze del Tribunale federale 5A_92/2010 del 16 ottobre 2010, consid. 6.1 e 5A_228/2009 dell'8 luglio 2009, consid. 4.1, in sic! 12/2009 pag. 888 con rinvii a DTF 124 III 74 consid. 2a e DTF 97 II 97 consid. 5b). a) Il Pretore è partito dall'idea, nel decreto cautelare, che qualora un convenuto abbia già offeso una volta la personalità del­l'istante il rischio di reiterazione si presume, sicché tocca poi al convenuto smentirlo (pag. 4 in fondo). V'è da domandarsi se un automatismo del genere sia condivisibile, in particolare ove la lesione risalga a molto tempo addietro. Sta di fatto che prima di risolvere l'interrogativo occorre esaminare, nel caso spe­cifico, se il rischio di lesione per la personalità del­l'istante apparisse “incombente”, poiché solo a tale condizione è lecita l'emanazione di provvedimenti cautelari a tutela della personalità nei confronti di mass media periodici. Un pericolo di reiterazione che non incombe non basta per sorreggere misure d'urgenza in virtù dell'art. 266 CPC. A maggior ragione ove si consideri che persino nel merito l'art. 28 a cpv. 1 n. 1 CC assoggetta un'azione inibitoria al presupposto di una lesione “imminente”. b) Invano si cercherebbe nel decreto impugnato un accenno al carattere imminente della lesione. Il Pretore si è limitato a presumere il rischio di reiterazione dell'offesa, corroborata a suo parere dalle notorie difficoltà finanziarie in cui versa il Comune di __________, le quali aumentano la pressione critica sull'offerta culturale cittadina. Nell'istanza AO 1 motivava l'urgenza cautelare, da parte sua, con l'argomento che la campagna stampa nei suoi confronti era “divenuta virulenta riguardo alla futura destinazione di __________, oggetto di un articolo pubblicato dal __________ il 1° settembre 2013 (doc. V 1 ), ragione per cui la denigrazione nei suoi confronti sarebbe continuata “anche a causa del­l'attualità di questo tema politico” (istanza del 7 ottobre 2013, pag. 15, punto 37). Che il __________ intendesse continuare l'invettiva contro “l'inutile museo delle carabattole africane”, il quale “costa al contribuente luganese 1.2 milioni di franchi” annui (doc. F), è senz'altro verosimile. Che così facendo il settimanale intendesse reiterare anche l'uso dei termini “clientelare direttore” e “a vantag­gio dei suoi intrallazzi” nei riguardi del­l'istante è già meno verosimile, tali espressioni essendo state usate dal periodico una sola volta, rispettivamente il 10 aprile 2011 (doc. F) e il 18 novembre 2012 (doc. R). Che poi la reiterazione apparisse “incombente” non risulta da indizi concreti. Certo, la campagna stampa contro il museo del “ciarpame extraeuropeo” e contro il “direttore italiano strapagato” (doc. V 1 ) proseguiva, ma che la destinazione di __________ facesse apparire imminente , al momento in cui ha statuito il Pretore (febbraio del 2014), la ripetizione di epiteti risalenti a quasi tre anni addietro (il primo) e a oltre un anno (il secondo) non poteva dirsi per ciò solo verosimile. c) Tanto meno il decreto impugnato può trovare conferma ove si rammenti che – come detto (consid. 5) – provvedimenti cautelari nei confronti di mass media periodici vanno emanati con grande riserbo, non dovendo costituire una forma di cen­sura preventiva. L'esistenza di una lesione “incombente” (e non solo possibile o fors'anche probabile), che giustificasse misure d'urgenza, andava vagliata perciò con debito rigore e non solo presunta in astratto. Nel caso precipuo mancavano indizi sufficienti che sostanziassero l'imminenza delle reiterazione in concreto. Ciò rende superfluo esaminare se, a un giudizio di verosimiglianza, la paventata lesione fosse suscettibile di causare alla personalità al­l'istante un pregiudizio particolarmente grave, se manifestamente non vi fosse alcun valido motivo a sostegno della lesione e se il divieto giudiziale non apparisse sproporzionato. La reiezione dell'istanza cautelare rende senza oggetto anche la comminatoria di sanzioni in caso di inosservanza e l'ingiunzione di pubblicare il dispositivo del decreto cautelare sul __________ e sul sito __________ .</w:t>
      </w:r>
    </w:p>
    <w:p>
      <w:r>
        <w:rPr>
          <w:b/>
        </w:rPr>
        <w:t>E. 8</w:t>
      </w:r>
    </w:p>
    <w:p>
      <w:r>
        <w:t>Le spese del giudizio odierno seguono il principio della soccombenza (art. 106 cpv. 1 CPC), tanto in prima quanto in seconda sede. Gli appellanti postulano per il primo grado di giurisdizione un'indennità di fr. 1500.– a titolo di ripetibili, somma che appare sicuramente congrua all'entità delle prestazioni svolte dal patrocinatore nel caso in rassegna.</w:t>
      </w:r>
    </w:p>
    <w:p>
      <w:r>
        <w:rPr>
          <w:b/>
        </w:rPr>
        <w:t>E. 9</w:t>
      </w:r>
    </w:p>
    <w:p>
      <w:r>
        <w:t>Quanto ai rimedi giuridici esperibili contro la presente sentenza sul piano federale (art. 112 cpv. 1 lett. d LTF), un eventuale ricorso in materia civile è ammissibile senza riguardo a questioni di valore (sopra, consid. 1). Per questi motivi, decide: I.  Nella misura in cui non è divenuto privo d'oggetto, l'appello è accolto e il decreto cautelare impugnato è così riformato: 1.  L'istanza cautelare è respinta. 2.  Le spese processuali di fr. 500.– complessivi sono poste a carico del­l'istante, che rifonderà ai con venuti fr. 1500.– complessivi per ripetibili. II.  Le spese di appello, di fr. 1000.– complessivi, da anticipare dagli appellanti, sono poste a carico dell'istante, che rifonderà ai convenuti fr. 1500.– complessivi per ripetibili. III.  Notificazione: –; –. Comunicazione alla Pretura del Distretto di Lugano, sezione 1. Per la prima Camera civile del Tribunale d ' appello Il presidente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