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11.2014.13 vom 26. September 2016</w:t>
      </w:r>
    </w:p>
    <w:p>
      <w:r>
        <w:t>TI Tribunale d'appello, 2016-09-26, IT</w:t>
      </w:r>
    </w:p>
    <w:p>
      <w:r>
        <w:rPr>
          <w:b/>
        </w:rPr>
        <w:t xml:space="preserve">Quelle: </w:t>
      </w:r>
      <w:r>
        <w:t>https://mcp.opencaselaw.ch/entscheid/ti_gerichte_11.2014.13</w:t>
      </w:r>
    </w:p>
    <w:p>
      <w:r>
        <w:t>FR: TI_GERICHTE 11.2014.13 du 26 septembre 2016</w:t>
      </w:r>
    </w:p>
    <w:p>
      <w:r>
        <w:t>IT: TI_GERICHTE 11.2014.13 del 26 settembre 2016</w:t>
      </w:r>
    </w:p>
    <w:p>
      <w:pPr>
        <w:pStyle w:val="Heading2"/>
      </w:pPr>
      <w:r>
        <w:t>Regeste</w:t>
      </w:r>
    </w:p>
    <w:p>
      <w:r>
        <w:t>Divorzio: contributi di mantenimento per la moglie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secondo l'ultima conclusione riconosciuta nella decisione impugnata (art. 308 cpv. 2 CPC). Nella fattispecie tale presupposto è dato, ove appena si consideri l'entità e la durata dei contributi alimentari su cui ha deciso il Pretore. Quanto alla tempestività dell'appello, la sentenza impugnata è stata notificata alla patrocinatrice dell'attore il</w:t>
      </w:r>
    </w:p>
    <w:p>
      <w:r>
        <w:rPr>
          <w:b/>
        </w:rPr>
        <w:t>E. 10</w:t>
      </w:r>
    </w:p>
    <w:p>
      <w:r>
        <w:t>gennaio 2014 , di modo che il termine di ricorso, cominciato a decorrere il giorno seguente, sarebbe scaduto domenica 9 febbraio 2014, salvo protrarsi al lunedì successivo in virtù dell'art. 142 cpv. 3 CPC. Presentato il 10 febbraio 2014, ultimo giorno utile, l'appello in esame è di conseguenza ricevibile . 2. In questa sede AO 1 produce nuova documentazione: un certificato di salario 2013 (doc. 55), una polizza di cassa malati e un conteggio della __________ del 12 dicembre 2013 riguardante il premio del 2014 (doc. 56), un attestato dei costi dello stesso assicuratore per il 2013 (doc. 57), una diffida 11 aprile 2013 della __________ relativa al pagamento di fatture scoperte per fr. 6361 .– correlate all'appartamento di __________ (doc. 58), due certificati medici del dott. __________ del 13 marzo 2014 (doc. 59), un messaggio di posta elettronica del 10 marzo 2014 in cui l'Ufficio controllo abitanti di __________ comunica l'avvenuto trasferimento dell'appellante a __________ il 31 gennaio 2014 (doc. 60), un precetto esecutivo notificatole dalla __________ il 27 maggio 2013 per la citata pretesa di fr. 6361 .– (doc. 61) e un accordo di pagamento rateale delle spese di cassa malati del 17 febbraio 2014 (doc. 62). Il 17 dicembre 2014 l'interessata ha presentato anche un certificato</w:t>
      </w:r>
    </w:p>
    <w:p>
      <w:r>
        <w:rPr>
          <w:b/>
        </w:rPr>
        <w:t>E. 11</w:t>
      </w:r>
    </w:p>
    <w:p>
      <w:r>
        <w:t>Circa i rimedi esperibili contro la presente sentenza sul piano federale (art. 112 cpv. 1 lett. d LTF), il valore litigioso raggiunge agevolmente la soglia di fr. 30 000.– ai fini dell'art. 74 cpv. 1 lett. b LTF, ove appena si consideri l'entità e la durata dei contributi alimentari controversi. Per questi motivi, decide: I.  L 'appello è parzialmente accolto, nel senso che la sentenza impugnata è così riformata: 3. Dal passaggio in giudicato dell'attuale sentenza AP 1 verserà a AO 1 i seguenti contributi di mantenimento: fr. 105.– mensili dal momento in cui la figlia É__________ andrà ad abitare per conto proprio o avrà terminato il percorso scolastico o professionale, fino al pensionamento ordinario della beneficiaria; fr. 225.– mensili dopo di allora, vita natural durante. Il contributo è dovuto anticipatamente, entro il 5 di ogni mese. 6.  Le spese processuali di fr. 9000.– sono poste per tre ottavi a carico di AP 1 e per il resto a carico di AO 1, che rifonderà al marito fr. 5500.– per ripetibili ridotte. 7.  AO 1 è ammessa il beneficio del gratuito patrocinio da parte dell'avv. PA 2. Lo Stato del Cantone Ticino anticiperà per lei all'avv. PA 2 la seguente retribuzione: onorario                        fr. 6750.— spese                           fr.   632.80 IVA (8%)                       fr.   590.60 fr. 7973.40 Per il resto l'appello è respinto e la sentenza impugnata è confermata. II. Le spese di appello, di fr. 2500.– , sono poste per un terzo a carico di AP 1 e per il resto a carico di AO 1, che rifonderà all'appellante fr. 1000.– per ripetibili ridotte. III.  La richiesta di gratuito patrocinio presentata da AO 1 in appello è respinta. IV.  Notificazione a: – avv.; – avv.; – Stato del Cantone Ticino, Ufficio dell'incasso e delle pene alternative, Torricella (in estratto, consid. 9 con dispositivi n. I, II, III e IV). Comunicazione alla Pretura del Distretto di Lugano, sezione 6. Per la prima Camera civile del Tribunale d ' appello Il presidente      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 95 a 98 LTF entro 30 giorni dalla notificazione della decisione impugnata. Nelle cause aventi carattere pecuniario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