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11.2012.77 vom 6. August 2012</w:t>
      </w:r>
    </w:p>
    <w:p>
      <w:r>
        <w:t>TI Tribunale d'appello, 2012-08-06, IT</w:t>
      </w:r>
    </w:p>
    <w:p>
      <w:r>
        <w:rPr>
          <w:b/>
        </w:rPr>
        <w:t xml:space="preserve">Quelle: </w:t>
      </w:r>
      <w:r>
        <w:t>https://mcp.opencaselaw.ch/entscheid/ti_gerichte_11.2012.77</w:t>
      </w:r>
    </w:p>
    <w:p>
      <w:r>
        <w:t>FR: TI_GERICHTE 11.2012.77 du 6 août 2012</w:t>
      </w:r>
    </w:p>
    <w:p>
      <w:r>
        <w:t>IT: TI_GERICHTE 11.2012.77 del 6 agosto 2012</w:t>
      </w:r>
    </w:p>
    <w:p>
      <w:pPr>
        <w:pStyle w:val="Heading2"/>
      </w:pPr>
      <w:r>
        <w:t>Regeste</w:t>
      </w:r>
    </w:p>
    <w:p>
      <w:r>
        <w:t>Protezione dell'unione coniugale</w:t>
      </w:r>
    </w:p>
    <w:p>
      <w:pPr>
        <w:pStyle w:val="Heading2"/>
      </w:pPr>
      <w:r>
        <w:t>Erwägungen</w:t>
      </w:r>
    </w:p>
    <w:p>
      <w:r>
        <w:rPr>
          <w:b/>
        </w:rPr>
        <w:t>E. 2</w:t>
      </w:r>
    </w:p>
    <w:p>
      <w:r>
        <w:t>Si volesse da ciò prescindere, l'esito del giudizio non muterebbe. Ammesso e non concesso che in concreto l'appellante intenda veder applicare misure a protezione del figlio nel senso degli art. 307 segg. CC, misure che nelle protezioni dell'unione coniugale sono adottate dal giudice (art. 315 a cpv. 1 CC), la richiesta va sottoposta anzitutto al Pretore aggiunto, davanti al quale pende la causa. Oggetto di appello può essere unicamente il decreto cautelare con cui il primo giudice ha omologato l'intesa cui i coniugi sono pervenuti il 19 luglio 2012. A tale decreto tuttavia l'appellante non muove alcuna critica. Nel suo memoriale riconosce, anzi, di “precisare alcuni punti non trattati durante l'udienza del 19 luglio 2012”. Questa Camera non può essere adita però in alternativa al Pretore aggiunto. Incomberà al convenuto far valere i suoi timori e le sue inquietudini per il bene del figlio davanti al primo giudice nei modi e nelle forme che la procedure dispone. Il rimedio giuridico dell'appello non è dato a tal fine.</w:t>
      </w:r>
    </w:p>
    <w:p>
      <w:r>
        <w:rPr>
          <w:b/>
        </w:rPr>
        <w:t>E. 3</w:t>
      </w:r>
    </w:p>
    <w:p>
      <w:r>
        <w:t>Le spese del giudizio odierno seguirebbero la soccombenza (art. 106 cpv. 1 CPC), ma il fatto che il convenuto abbia agito senza l'ausilio di un legale induce – eccezionalmente – a non prelevare oneri (art. 107 cpv. 1 lett. f CPC). Non si pone invece problema di ripetibili, l'atto non essendo stato comunicato all'istante per osservazioni.</w:t>
      </w:r>
    </w:p>
    <w:p>
      <w:r>
        <w:rPr>
          <w:b/>
        </w:rPr>
        <w:t>E. 4</w:t>
      </w:r>
    </w:p>
    <w:p>
      <w:r>
        <w:t>Quanto ai rimedi esperibili contro l'odierna decisione sul piano federale (art. 112 cpv. 1 lett. d LTF), t rattandosi in concreto di una decisione cautelare, ovvero incidentale (DTF 134 I 86 consid. 3.1), essa segue la via giudiziaria del­l'azione principale (art. 51 cpv. 1 lett. c LTF ). E la disciplina a protezione dell'unione coniugale può formare oggetto di ricorso in materia civile sen­za riguardo a questioni di valore (art. 74 cpv. 1 lett. b LTF) , non essendo limitata a contestazioni meramente pecuniarie. Per questi motivi, decide: 1.   L'appello è irricevibile. 2.   Non si riscuotono spese processuali. 3.   Notificazione: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