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11.2012.3 vom 15. Februar 2013</w:t>
      </w:r>
    </w:p>
    <w:p>
      <w:r>
        <w:t>TI Tribunale d'appello, 2013-02-15, IT</w:t>
      </w:r>
    </w:p>
    <w:p>
      <w:r>
        <w:rPr>
          <w:b/>
        </w:rPr>
        <w:t xml:space="preserve">Quelle: </w:t>
      </w:r>
      <w:r>
        <w:t>https://mcp.opencaselaw.ch/entscheid/ti_gerichte_11.2012.3</w:t>
      </w:r>
    </w:p>
    <w:p>
      <w:r>
        <w:t>FR: TI_GERICHTE 11.2012.3 du 15 février 2013</w:t>
      </w:r>
    </w:p>
    <w:p>
      <w:r>
        <w:t>IT: TI_GERICHTE 11.2012.3 del 15 febbraio 2013</w:t>
      </w:r>
    </w:p>
    <w:p>
      <w:pPr>
        <w:pStyle w:val="Heading2"/>
      </w:pPr>
      <w:r>
        <w:t>Regeste</w:t>
      </w:r>
    </w:p>
    <w:p>
      <w:r>
        <w:t>Divorzio: autorità parentale congiunta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22 gennaio 2013 AP 1 ha comunicato a questa Camere di ritirare le richieste volte alla riduzione dei contributi alimentari per i figli poiché “la mutata situazione finanziaria e logistica dovuta alla decisione del datore di lavoro (__________) che ha comportato il mio trasferimento a __________ e la riduzione della percentuale di lavoro (…) si è fortunatamente rivelata transitoria, per un periodo di sei mesi; dopodiché ho potuto essere reintegrato nella mia precedente posizione e funzione a __________”. Ora, il ritiro dell'appello configura desistenza (art. 241 cpv. 2 CPC; Rüegg in: Basler Kommentar, ZPO, Basilea 2010, n. 3 ad art. 106), indipendentemente dai motivi che possono avere indotto l'appellante a recedere dalla lite. Sulla questione dei contributi alimentari la causa va quindi stralciata dal ruolo (art. 241 cpv. 3 CPC).</w:t>
      </w:r>
    </w:p>
    <w:p>
      <w:r>
        <w:rPr>
          <w:b/>
        </w:rPr>
        <w:t>E. 3</w:t>
      </w:r>
    </w:p>
    <w:p>
      <w:r>
        <w:t>Litigioso rimane il problema dell'autorità parentale congiunta. Al riguardo il Pretore aggiunto ha ricordato che l'esercizio in comune dell'autorità parentale presuppone tre requisiti cumulativi: una richiesta congiunta dei genitori, la compatibilità di tale richiesta con il bene del minorenne e una convenzione suscettibile di approvazione in cui i genitori determinino la loro partecipazione alle cure del figlio e la ripartizione delle spese di mantenimento. Nella fattispecie – egli ha continuato – il rifiuto di un genitore osta a tale possibilità, ciò che non lede né l'art.</w:t>
      </w:r>
    </w:p>
    <w:p>
      <w:r>
        <w:rPr>
          <w:b/>
        </w:rPr>
        <w:t>E. 8</w:t>
      </w:r>
    </w:p>
    <w:p>
      <w:r>
        <w:t>Quanto ai rimedi giuridici esperibili sul piano federale contro la presente sentenza (art. 112 cpv. 1 lett. d LTF), l'attribuzione dell'autorità parentale in comune dopo il divorzio dei genitori non dipende da questioni di valore litigioso e può formare oggetto di ricorso in materia civile sen­za riguardo all' art. 74 LTF . Per questi motivi, decide: 1.   Nella misura in cui non è stato ritirato, l'appello è respinto e la decisione impugnata è confermata. 2.   Le spese processuali di fr. 1000.– sono poste a carico dell'appellante, che rifonderà alla controparte fr. 1500.– per ripetibili. 3.   Notificazione a: –; –. Comunicazione alla Pretura del Distretto di Lugano, sezione 6. Per la prima Camera civile del Tribunale d ' appello. Il presidente 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30 000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