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11.2011.8 vom 17. November 2014</w:t>
      </w:r>
    </w:p>
    <w:p>
      <w:r>
        <w:t>TI Tribunale d'appello, 2014-11-17, IT</w:t>
      </w:r>
    </w:p>
    <w:p>
      <w:r>
        <w:rPr>
          <w:b/>
        </w:rPr>
        <w:t xml:space="preserve">Quelle: </w:t>
      </w:r>
      <w:r>
        <w:t>https://mcp.opencaselaw.ch/entscheid/ti_gerichte_11.2011.8</w:t>
      </w:r>
    </w:p>
    <w:p>
      <w:r>
        <w:t>FR: TI_GERICHTE 11.2011.8 du 17 novembre 2014</w:t>
      </w:r>
    </w:p>
    <w:p>
      <w:r>
        <w:t>IT: TI_GERICHTE 11.2011.8 del 17 novembre 2014</w:t>
      </w:r>
    </w:p>
    <w:p>
      <w:pPr>
        <w:pStyle w:val="Heading2"/>
      </w:pPr>
      <w:r>
        <w:t>Regeste</w:t>
      </w:r>
    </w:p>
    <w:p>
      <w:r>
        <w:t>Appello dichiarato senza interesse giuridico: conseguenze in materia di spese e ripetibili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ai fini dell'art. 74 cpv. 1 lett. b LTF, il valore locativo dell'abitazione rivendicata in uso da AO 1 per la presumibile durata residua della causa di merito al momento di adire questa Camera non risultando di tale entità; vista sulle spese anche la tariffa giudiziaria, pronuncia: 1.  Nella misura in cui non è divenuto senza interesse giuridico, l'appello è accolto e il decreto impugnato è annullato. 2.  Gli oneri processuali, consistenti in: a) tassa di giustizia    fr. 200.– b) spese                    fr.</w:t>
      </w:r>
    </w:p>
    <w:p>
      <w:r>
        <w:rPr>
          <w:b/>
        </w:rPr>
        <w:t>E. 50</w:t>
      </w:r>
    </w:p>
    <w:p>
      <w:r>
        <w:t>fr. 250.– da anticipare dall'appellante, sono posti a carico di AO 1, che rifonderà all'appellante fr. 1500.– per ripetibili. 3.  Notificazione: –; –. Comunicazione alla Pretura del Distretto di Vallemaggia. Per la prima Camera civile del Tribunale d ' appello Il presidente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