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11.2011.44 vom 18. Oktober 2013</w:t>
      </w:r>
    </w:p>
    <w:p>
      <w:r>
        <w:t>TI Tribunale d'appello, 2013-10-18, IT</w:t>
      </w:r>
    </w:p>
    <w:p>
      <w:r>
        <w:rPr>
          <w:b/>
        </w:rPr>
        <w:t xml:space="preserve">Quelle: </w:t>
      </w:r>
      <w:r>
        <w:t>https://mcp.opencaselaw.ch/entscheid/ti_gerichte_11.2011.44</w:t>
      </w:r>
    </w:p>
    <w:p>
      <w:r>
        <w:t>FR: TI_GERICHTE 11.2011.44 du 18 octobre 2013</w:t>
      </w:r>
    </w:p>
    <w:p>
      <w:r>
        <w:t>IT: TI_GERICHTE 11.2011.44 del 18 ottobre 2013</w:t>
      </w:r>
    </w:p>
    <w:p>
      <w:pPr>
        <w:pStyle w:val="Heading2"/>
      </w:pPr>
      <w:r>
        <w:t>Regeste</w:t>
      </w:r>
    </w:p>
    <w:p>
      <w:r>
        <w:t>Diffida ai debitori. Appello tardivo: errata indicazione dei rimedi giuridici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(art. 308 cpv. 2 CPC); che nella fattispecie il valore litigioso può ritenersi dato, vertendo la trattenuta su contributi di mantenimento per moglie e figlio di complessivi fr. 6420.– mensili; che la decisione impugnata, intimata martedì 8 marzo 2011, è giunta al patrocinatore del convenuto mercoledì 9 marzo 2011 ( www.posta.ch/EasyTrack , informazioni inerenti al recapito __________ – R Svizzera), come ammette lo stesso appellante; che, di conseguenza, il termine di impugnazione è cominciato a decorrere giovedì 10 marzo 2011 (art. 142 cpv. 1 CPC) ed è giunto a scadenza lunedì 21 marzo 2011, il decimo giorno cadendo di sabato (art. 142 cpv. 3 CPC); che l'appello è stato depositato l'8 aprile 2011 (timbro postale sulla busta d'invio raccomandato) ed è pertanto tardivo; che, certo, nella decisione impugnata il Pretore aggiunto ha erroneamente indicato il termine d'impugnazione di 30 giorni; che un appellante non può valersi tuttavia di un'indicazione erronea nei rimedi giuridici – e quindi invocare la propria buona fede – se lui (o il suo avvocato) avrebbe potuto scoprire l'errore semplicemente consultando il testo di legge, senza doversi riferire a dottrina o giurisprudenza (DTF 135 III 494 consid. 4.4; RtiD I-2008 pag. 1014 consid. 4.2); che nel caso in esame l'errore del primo giudice era rilevabile con la semplice lettura del Codice di procedura civile (art. 271 lett. a, 314 cpv.</w:t>
      </w:r>
    </w:p>
    <w:p>
      <w:r>
        <w:rPr>
          <w:b/>
        </w:rPr>
        <w:t>E. 1</w:t>
      </w:r>
    </w:p>
    <w:p>
      <w:r>
        <w:t>CPC e 177 CC), soprattutto da parte di un avvocato (DTF 138 I 53 consid. 8.3.2); che, del resto, lo stesso patrocinatore dell'appellante ammette di essersi accorto dell'errore durante la preparazione dell'appello (memoriale, pag. 3); che nondimeno egli non postula la restituzione del termine di appello né pretende di essere senza colpa o di essere responsabile solo in lieve misura dell'inosservanza (art. 148 CPC), ma si limita a rimettersi alla decisione della Camera; che nelle circostanze descritte l'appello può solo essere dichiarato tardivo; che le spese processuali seguirebbero la soccombenza (art. 106 cpv. 1 CPC), ma che l'erronea indicazione dei rimedi giuridici induce a rinunciare a ogni prelievo; che non si pone problema di ripetibili, AO 1 non avendo formulato osservazioni; che per quanto riguarda i rimedi giuridici esperibili contro la presente decisione sul piano federale (art. 112 cpv. 1 lett. d LTF) il valore litigioso supera ampiamente la soglia di fr. 30 000.– ai fini dell'art. 74 cpv. 1 lett. b LTF; decide: 1.   L'appello è irricevibile. 2.   Non si riscuotono spese. 3.   Notificazione: –; –. Comunicazione alla Pretura del Distretto di Lugano, sezione 6. Per la prima Camera civile del Tribunale d ' appello Il presidente          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