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11.2011.41 vom 15. Februar 2011</w:t>
      </w:r>
    </w:p>
    <w:p>
      <w:r>
        <w:t>TI Tribunale d'appello, 2011-02-15, IT</w:t>
      </w:r>
    </w:p>
    <w:p>
      <w:r>
        <w:rPr>
          <w:b/>
        </w:rPr>
        <w:t xml:space="preserve">Quelle: </w:t>
      </w:r>
      <w:r>
        <w:t>https://mcp.opencaselaw.ch/entscheid/ti_gerichte_11.2011.41_d20110215</w:t>
      </w:r>
    </w:p>
    <w:p>
      <w:r>
        <w:t>FR: TI_GERICHTE 11.2011.41 du 15 février 2011</w:t>
      </w:r>
    </w:p>
    <w:p>
      <w:r>
        <w:t>IT: TI_GERICHTE 11.2011.41 del 15 febbraio 2011</w:t>
      </w:r>
    </w:p>
    <w:p>
      <w:pPr>
        <w:pStyle w:val="Heading2"/>
      </w:pPr>
      <w:r>
        <w:t>Regeste</w:t>
      </w:r>
    </w:p>
    <w:p>
      <w:r>
        <w:t>Iscrizione provvisoria di ipoteca legale degli artigiani e imprenditori: appello tardivo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giorni dalla notificazione, rinviando agli art. 308, 311, 405 cpv. 1 CPC; che tale indicazione era manifestamente errata; che, nondimeno, un appellante non può valersi di un'indicazione sbagliata dei rimedi giuridici – e quindi invocare la propria buona fede – se lui o il proprio avvocato avrebbero potuto scoprire l'errore consultando semplicemente il testo di legge (DTF 135 III 494 consid. 4.4; RtiD I-2008 pag. 1014 consid. 4.2); che in concreto l'erroneità dell'indicazione era rilevabile con la semplice lettura delle pertinenti norme del Codice di procedura civile (in particolare gli art. 249 lett. d n. 5 e 314 cpv. 1 CPC), soprattutto da parte di un avvocato (DTF 1 38 I 53 consid. 8.3.2 con rimandi); che nelle circostanze descritte l'appello del 30 marzo 2011 risulta manifestamente inammissibile; che le spese processuali seguono la soccombenza (art. 106 cpv. 1 CPC), ma la tassa di giustizia va adeguatamente ridotta, l'appello sfuggendo a qualsiasi esame (art. 21 LTG); che la AO 1 ha diritto a un'equa indennità per ripetibili, avendo presentato osservazioni all'appello per il tramite di un patrocinatore; che l'indennità per ripetibili va commisurata nondimeno a quanto sarebbe bastato per eccepire la palmare tardività dell'appello, argomentazioni di merito essendo superflue in circostanze del genere; che relativamente ai rimedi giuridici esperibili contro la presente decisione sul piano federale (art. 112 cpv. 1 lett. d LTF), il valore litigioso ai fini dell'art. 74 cpv. 1 lett. b LTF raggiunge agevolmente la soglia di fr. 30 000.– per un eventuale ricorso in materia civile; decide: 1.   L'appello è irricevibile. 2.   Le spese processuali di fr. 300.– sono poste solidalmente a carico di AP 1 e AP 2, che rifonderanno alla controparte, sempre con vincolo di solidarietà, fr. 500.– complessivi per ripetibili. 3.   Notificazione a: –; –. Comunicazione alla Pretura del Distretto di Lugano, sezione 2. Per la prima Camera civile del Tribunale d ' appello Il presidente                                                           La vicecancelliera Rimedi giuridici Nelle cause senza carattere pecuniario il ricorso in materia civile al Tribunale federale, 1000 Losanna 14, è ammissibile contro le decisioni previste dagli art. 90 a 93 LTF per i motivi enunciati dagli art. 95 a 98 LTF entro il termine stabilito dall'art. 100 cpv. 1 e 2 LTF (art. 72 segg. LTF). Nelle cause di carattere pecuniario il ricorso in materia civile è am­missi­bile solo se il valore litigioso ammonta ad almeno 30 000 franchi; quando il valore litigioso non raggiunge tale importo, il ricorso in materia civile è ammissibile se la controversia concerne una questione di diritto di importanza fondamentale (art. 74 LTF). La legittimazione a ri­correre è disciplinata dall'art. 76 LTF. Laddove non sia ammissibile il ricorso in materia civile è dato, entro lo stesso termine, il ricorso sussidiario in materia costituzionale al Tribunale federale per i motivi previsti dall'art. 116 LTF (art. 113 LTF). La legittimazione a ricorrere è disciplinata in tal caso dall'art. 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