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11.2011.27 vom 28. März 2011</w:t>
      </w:r>
    </w:p>
    <w:p>
      <w:r>
        <w:t>TI Tribunale d'appello, 2011-03-28, IT</w:t>
      </w:r>
    </w:p>
    <w:p>
      <w:r>
        <w:rPr>
          <w:b/>
        </w:rPr>
        <w:t xml:space="preserve">Quelle: </w:t>
      </w:r>
      <w:r>
        <w:t>https://mcp.opencaselaw.ch/entscheid/ti_gerichte_11.2011.27</w:t>
      </w:r>
    </w:p>
    <w:p>
      <w:r>
        <w:t>FR: TI_GERICHTE 11.2011.27 du 28 mars 2011</w:t>
      </w:r>
    </w:p>
    <w:p>
      <w:r>
        <w:t>IT: TI_GERICHTE 11.2011.27 del 28 marzo 2011</w:t>
      </w:r>
    </w:p>
    <w:p>
      <w:pPr>
        <w:pStyle w:val="Heading2"/>
      </w:pPr>
      <w:r>
        <w:t>Regeste</w:t>
      </w:r>
    </w:p>
    <w:p>
      <w:r>
        <w:t>Rettificazione dei registri dello stato civile: foro</w:t>
      </w:r>
    </w:p>
    <w:p>
      <w:pPr>
        <w:pStyle w:val="Heading2"/>
      </w:pPr>
      <w:r>
        <w:t>Erwägungen</w:t>
      </w:r>
    </w:p>
    <w:p>
      <w:r>
        <w:rPr>
          <w:b/>
        </w:rPr>
        <w:t>E. 2</w:t>
      </w:r>
    </w:p>
    <w:p>
      <w:r>
        <w:t>Le autorità cantonali di vigilanza sono abilitate a promuovere rettificazioni del registro dello stato civile alla stessa stregua di chi renda verosimile un interesse degno di protezione (art. 42 cpv. 2 CC). La legittimazione ad appellare del l ' Ufficio di vigilanza sullo stato civile, che si è visto dichiarare irricevibile l'istanza del 4 feb­braio 2011, è quindi data.</w:t>
      </w:r>
    </w:p>
    <w:p>
      <w:r>
        <w:rPr>
          <w:b/>
        </w:rPr>
        <w:t>E. 3</w:t>
      </w:r>
    </w:p>
    <w:p>
      <w:r>
        <w:t>Nella sentenza impugnata il Pretore ha rilevato che “per le azioni di rettificazione di registri dello stato civile è imperativo il foro del circondario in cui i dati anagrafici sono stati registrati o avrebbero dovuto esserlo” (art. 22 CPC). In concreto – egli ha soggiunto – l'iscrizione della nascita “è (...) stata effettuata nel circondario per il Comune di __________, luogo di attinenza della madre”. Onde l'incompetenza per territorio della Pretura del Distretto di Bellinzona.</w:t>
      </w:r>
    </w:p>
    <w:p>
      <w:r>
        <w:rPr>
          <w:b/>
        </w:rPr>
        <w:t>E. 4</w:t>
      </w:r>
    </w:p>
    <w:p>
      <w:r>
        <w:t>L'Ufficio di vigilanza sullo stato civile censura nell'appello un'errata applicazione dell'art. 22 CPC. Esso ricorda che in virtù dell ' art. 2 cpv. 1 OSC (RS 211.112.2) i Cantoni possono, designandone la sede, istituire uffici dello stato civile speciali il cui circondario comprenda tutto il territorio cantonale. Uffici speciali possono es sere creati dai Cantoni, in particolare, per “documentare decisio ni o documenti esteri concernenti lo stato civile in base a decisioni della propria autorità di vigilanza (art. 32 LDIP)” (art. 2 cpv. 2 lett. a OSC). Il Ticino ha usufruito di tale facoltà, prevedendo un Ufficio centrale dello stato civile, con competenza su tutto il territorio cantonale (art. 4 del regolamento sullo stato civile: RL 4.1.2.1), chiamato a svolgere “centralmente i compiti affidatigli dall'art. 2 cpv. 2 OSC” (art. 9 cpv. 1 del regolamento cantonale citato). Solo l'Ufficio centrale dello stato civile – conclude l'appellante – documenta quindi nel Ticino le nascite sopraggiunte all'estero, di modo che solo il Pretore del Distretto di Bellinzona è competente per trattare una rettificazione dell'iscrizione in simile caso.</w:t>
      </w:r>
    </w:p>
    <w:p>
      <w:r>
        <w:rPr>
          <w:b/>
        </w:rPr>
        <w:t>E. 5</w:t>
      </w:r>
    </w:p>
    <w:p>
      <w:r>
        <w:t>Le decisioni o i documenti stranieri concernenti lo stato civile di una persona sono trascritti nel registro svizzero “se così dispo­ne l'autorità cantonale di vigilanza” (art. 32 cpv. 1 LDIP e 23 OSC). Questa autorizza l'iscrizione ove siano adempiute le condizioni degli art. 25 a 27 LDIP (art. 32 cpv. 2 LDIP). L'iscrizione è poi eseguita (“documentata”) dagli uffici di stato civile ordinari o, qualora esista, dall'Ufficio speciale istituito dal Cantone. Dandosi un Ufficio speciale, di conseguenza, gli uffici di stato civile ordinari iscrivono nel registro solo le nascite avvenute nei loro circondari (art. 20 cpv. 1 OSC). E nel Ticino i circondari coincidono con il territorio dei Distretti (art. 1 del regolamento cantonale citato). Le nascite avvenute all'estero sono trascritte invece, previa autorizzazione dell'autorità cantonale di vigilanza, dall'Ufficio speciale con giurisdizione sull'intero territorio del Cantone. Nel Ticino l'Ufficio speciale è, come detto, l'Ufficio centrale dello stato civile.</w:t>
      </w:r>
    </w:p>
    <w:p>
      <w:r>
        <w:rPr>
          <w:b/>
        </w:rPr>
        <w:t>E. 6</w:t>
      </w:r>
    </w:p>
    <w:p>
      <w:r>
        <w:t>Per le azioni di rettificazione di registri dello stato civile è imperativo – si è ricordato – il foro del circondario in cui i dati anagrafici sono stati registrati o avrebbero dovuto esserlo (art. 22 CPC). Nella fattispecie il Pretore rileva che “l'iscrizione in questione è (...) stata effettuata nel circondario per il Comune di __________, luogo di attinenza della madre”. L'accertamento è erroneo, la nascita di K__________ essendo stata trascritta non dall'ufficio di stato civile ordinario per il Comune di __________, bensì dall'Ufficio centrale di stato civile a Bellinzona, come risulta dagli atti (conferma dell'11 agosto 2010, con bollo dell'Ufficio). Poco importa dove si trovi l'attinenza dei genitori. Poco importa altresì dove si trovi il registro, che del resto è una banca dati centrale gestita in forma elettronica (“Infostar”: art. 45 a CC). Determinante ai fini del foro è il luogo in cui i dati anagrafici sono stati registrati. Ciò significa che c ompetente per trattare un'azione di rettificazione è sempre il giudice del luogo in cui si trova l'ufficio, anche qualora i circondari di stato civile non coincidano con le giurisdizioni dei tribunali ( Rubin in: Baker/M c Kenzie, Schweizerische Zivilprozess ­ordnung, Berna 2010, n. 18 ad art. 22; identico principio vigeva già anteriormente al 1° gennaio 2011: Kellerhals/von Werdt/ Güngerich , Gerichtsstands­gesetz, 2 ª edizione, n. 16 ad art. 14).</w:t>
      </w:r>
    </w:p>
    <w:p>
      <w:r>
        <w:rPr>
          <w:b/>
        </w:rPr>
        <w:t>E. 7</w:t>
      </w:r>
    </w:p>
    <w:p>
      <w:r>
        <w:t>Ne segue che, provvisto di buon diritto, in concreto l'appello merita accoglimento. Un formale accertamento della competenza per territorio del Pretore del Distretto di Bellinzona, come chiede l'Ufficio di vigilanza sullo stato civile, non è tuttavia necessario, nessuno avendo eccepito alcunché sotto il profilo della competenza (il Pretore ha sollevato la questione di propria iniziativa). Per rimediare alla situazione venutasi a creare è sufficiente annullare la sentenza impugnata e rinviare gli atti al Pretore perché tratti l'istanza di rettificazione (art. 318 cpv. 1 lett. c  n. 1 CPC).</w:t>
      </w:r>
    </w:p>
    <w:p>
      <w:r>
        <w:rPr>
          <w:b/>
        </w:rPr>
        <w:t>E. 8</w:t>
      </w:r>
    </w:p>
    <w:p>
      <w:r>
        <w:t>Le spese giudiziarie seguirebbero la soccombenza (art. 106 cpv. 1 CPC), ma nel caso specifico CO 1 e CO 2 non hanno proposto di respingere il ricorso. Conviene rinunciare dunque a ogni prelievo. Nemmeno si giustifica di attribuire ripetibili, sia perché l'Ufficio di vigilanza sullo stato civile non ne ha richieste (FF 2006 pag. 6667 in fondo), sia perché esso ottiene causa vinta nell'esercizio delle sue attribuzioni ufficiali e non potrebbe quindi pretenderne (art. 68 cpv. 3 LTF per analogia).</w:t>
      </w:r>
    </w:p>
    <w:p>
      <w:r>
        <w:rPr>
          <w:b/>
        </w:rPr>
        <w:t>E. 9</w:t>
      </w:r>
    </w:p>
    <w:p>
      <w:r>
        <w:t>Per quanto riguarda i rimedi giuridici esperibili contro l'odierna sentenza sul piano federale (art. 112 cpv. 2 lett. d LTF), in materia di tenuta del registro di stato civile è dato ricorso in materia civile conformemente all ' art. 72 cpv. 2 lett. b n. 2 LTF (DTF 135 III 390 consid. 1.1).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