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11.2011.145 vom 9. Dezember 2013</w:t>
      </w:r>
    </w:p>
    <w:p>
      <w:r>
        <w:t>TI Tribunale d'appello, 2013-12-09, IT</w:t>
      </w:r>
    </w:p>
    <w:p>
      <w:r>
        <w:rPr>
          <w:b/>
        </w:rPr>
        <w:t xml:space="preserve">Quelle: </w:t>
      </w:r>
      <w:r>
        <w:t>https://mcp.opencaselaw.ch/entscheid/ti_gerichte_11.2011.145</w:t>
      </w:r>
    </w:p>
    <w:p>
      <w:r>
        <w:t>FR: TI_GERICHTE 11.2011.145 du 9 décembre 2013</w:t>
      </w:r>
    </w:p>
    <w:p>
      <w:r>
        <w:t>IT: TI_GERICHTE 11.2011.145 del 9 dicembre 2013</w:t>
      </w:r>
    </w:p>
    <w:p>
      <w:pPr>
        <w:pStyle w:val="Heading2"/>
      </w:pPr>
      <w:r>
        <w:t>Regeste</w:t>
      </w:r>
    </w:p>
    <w:p>
      <w:r>
        <w:t>Appello diventato privo d'oggetto in seguito a decesso di una parte senza subingresso degli eredi (processo non trasmissibile)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