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11.2011.117 vom 4. Dezember 2013</w:t>
      </w:r>
    </w:p>
    <w:p>
      <w:r>
        <w:t>TI Tribunale d'appello, 2013-12-04, IT</w:t>
      </w:r>
    </w:p>
    <w:p>
      <w:r>
        <w:rPr>
          <w:b/>
        </w:rPr>
        <w:t xml:space="preserve">Quelle: </w:t>
      </w:r>
      <w:r>
        <w:t>https://mcp.opencaselaw.ch/entscheid/ti_gerichte_11.2011.117</w:t>
      </w:r>
    </w:p>
    <w:p>
      <w:r>
        <w:t>FR: TI_GERICHTE 11.2011.117 du 4 décembre 2013</w:t>
      </w:r>
    </w:p>
    <w:p>
      <w:r>
        <w:t>IT: TI_GERICHTE 11.2011.117 del 4 dicembre 2013</w:t>
      </w:r>
    </w:p>
    <w:p>
      <w:pPr>
        <w:pStyle w:val="Heading2"/>
      </w:pPr>
      <w:r>
        <w:t>Regeste</w:t>
      </w:r>
    </w:p>
    <w:p>
      <w:r>
        <w:t>Misure a protezione dell'unione coniugale, contributi di mantenimento per moglie e figlia</w:t>
      </w:r>
    </w:p>
    <w:p>
      <w:pPr>
        <w:pStyle w:val="Heading2"/>
      </w:pPr>
      <w:r>
        <w:t>Erwägungen</w:t>
      </w:r>
    </w:p>
    <w:p>
      <w:r>
        <w:rPr>
          <w:b/>
        </w:rPr>
        <w:t>E. 000</w:t>
      </w:r>
    </w:p>
    <w:p>
      <w:r>
        <w:t>(art. 308 cpv. 2 CPC). In concreto tale presupposto è senz'altro dato, se appena si considera l'entità dei contributi alimentari in discussione. Tempestivo, l'appello in esame è di conseguenza ricevibile.</w:t>
      </w:r>
    </w:p>
    <w:p>
      <w:r>
        <w:rPr>
          <w:b/>
        </w:rPr>
        <w:t>E. 2</w:t>
      </w:r>
    </w:p>
    <w:p>
      <w:r>
        <w:t>Al memoriale l'appellante acclude nuovi documenti (da A a F). N uovi mezzi di prova sono propo­nibili in appello solo se vengono immediatamente addotti e se dinanzi alla giurisdizione inferiore non era possibile farli valere nemmeno con la diligenza esigibile, tenuto conto delle circostanze (art. 317 cpv. 1 CPC) . La regola vale anche nelle cause rette dal principio inquisitorio “attenuato” (“limitato”, “sociale”) che informa le procedure sommarie (art. 272 CPC) come le protezioni dell'unione coniugale (DTF 138 III 626 consid. 2.2; I CCA, sentenza inc. 11.2012.79 dell'11 marzo 2013, consid. 2 ). Nella fattispecie i documenti in rassegna sono di conseguenza ammissibili, tranne una parte delle ricevute prodotte indistintamente nel plico contrassegnato con la lettera “D”, che l'appellante avrebbe potuto presentare al Pretore prima della chiusura dell'istruttoria, avvenuta il 23 maggio 2011. A quest'ultimo riguardo non giova ad ogni modo soffermarsi, poiché tali ricevute non sono di rilievo ai fini del giudizio.</w:t>
      </w:r>
    </w:p>
    <w:p>
      <w:r>
        <w:rPr>
          <w:b/>
        </w:rPr>
        <w:t>E. 3</w:t>
      </w:r>
    </w:p>
    <w:p>
      <w:r>
        <w:t>Litigiosi rimangono in questa sede i contributi alimentari per moglie e figlia. Al riguardo il Pretore ha accertato il reddito del convenuto in fr. 3800.70 mensili a fronte di un fabbisogno minimo di fr. 2750.– mensili (minimo esistenziale del diritto ese­cutivo fr. 1200.–, costo dell'alloggio fr. 1115.–, premio della cas­sa malati fr. 204.35, pasti fuori casa fr. 231.–). Quanto alla mo­glie, egli non ha ritenuto di poterle imputare un reddito e ne ha calcolato il fabbisogno minimo in fr. 3080.65 mensili (minimo esisten­ziale del diritto esecutivo per genitore affidatario fr. 1350.–, locazione fr. 893.– [già dedotte le quote comprese nel fabbisogno in denaro delle figlie], premio della cassa malati fr. 406.–, leasing dell'automobile fr. 306.65, spese d'automobile fr. 125.–). Infine egli ha stimato il fabbisogno in denaro di S__________ in fr. 1115.– men­sili. Constatato un ammanco di fr. 3145.– mensili nel bilancio familiare, il primo giudice ha condannato AP 1 a versare dal 13 gennaio 2011 il suo margine disponibile (fr. 1050.– mensili) nella misura di fr. 771.– mensili alla moglie e per i restanti fr. 279.– mensili alla figlia (assegni familiari non compresi).</w:t>
      </w:r>
    </w:p>
    <w:p>
      <w:r>
        <w:rPr>
          <w:b/>
        </w:rPr>
        <w:t>E. 4</w:t>
      </w:r>
    </w:p>
    <w:p>
      <w:r>
        <w:t>L'appellante censura anzitutto il proprio reddito di fr. 3800.– netti mensili che il Pretore ha stimato deducendo dal totale delle entrate di lui nei primi cinque mesi di attività come indipendente (fr. 6204.– mensili in media tra il dicembre del 2010 e l'aprile del 2011) le spese professionali da lui esposte (fr. 876.– mensili in media), il costo di un operaio assunto dalla ditta individuale il</w:t>
      </w:r>
    </w:p>
    <w:p>
      <w:r>
        <w:rPr>
          <w:b/>
        </w:rPr>
        <w:t>E. 9</w:t>
      </w:r>
    </w:p>
    <w:p>
      <w:r>
        <w:t>Circa i rimedi giuridici esperibili contro la presente decisione sul piano federale (art. 112 cpv. 1 lett. b LTF), il valore litigioso raggiunge ampiamente la soglia di fr. 30 000.– prevista dall'art. 74 cpv. 1 lett. b LTF. Per questi motivi, decide: 1.   Nella misura in cui è ricevibile, l ' appello è respinto e la sentenza impugnata è confermata. 2.   Non si riscuotono spese. 3.   L'istanza di gratuito patrocinio presentata dall'appellante è respinta. 4.   AO 1 è ammessa al beneficio del gratuito patrocinio da parte dell'avv. PA 1. Lo Stato del Cantone Ticino verserà per lei alla patrocinatrice d'ufficio un'indennità di fr. 650.–. 5. Notificazione: –    ; –    ; – Stato del Cantone Ticino, Ufficio dell'incasso e delle pene alternative, Torricella (in estratto: dispositivo n. 4).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