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11.2011.114 vom 12. November 2013</w:t>
      </w:r>
    </w:p>
    <w:p>
      <w:r>
        <w:t>TI Tribunale d'appello, 2013-11-12, IT</w:t>
      </w:r>
    </w:p>
    <w:p>
      <w:r>
        <w:rPr>
          <w:b/>
        </w:rPr>
        <w:t xml:space="preserve">Quelle: </w:t>
      </w:r>
      <w:r>
        <w:t>https://mcp.opencaselaw.ch/entscheid/ti_gerichte_11.2011.114</w:t>
      </w:r>
    </w:p>
    <w:p>
      <w:r>
        <w:t>FR: TI_GERICHTE 11.2011.114 du 12 novembre 2013</w:t>
      </w:r>
    </w:p>
    <w:p>
      <w:r>
        <w:t>IT: TI_GERICHTE 11.2011.114 del 12 novembre 2013</w:t>
      </w:r>
    </w:p>
    <w:p>
      <w:pPr>
        <w:pStyle w:val="Heading2"/>
      </w:pPr>
      <w:r>
        <w:t>Regeste</w:t>
      </w:r>
    </w:p>
    <w:p>
      <w:r>
        <w:t>Protezione dell'unione coniugale: affidamento dei figli, relazioni personali, contributi alimentari</w:t>
      </w:r>
    </w:p>
    <w:p>
      <w:pPr>
        <w:pStyle w:val="Heading2"/>
      </w:pPr>
      <w:r>
        <w:t>Erwägungen</w:t>
      </w:r>
    </w:p>
    <w:p>
      <w:r>
        <w:rPr>
          <w:b/>
        </w:rPr>
        <w:t>E. 2</w:t>
      </w:r>
    </w:p>
    <w:p>
      <w:r>
        <w:t>All'appello AP 1 acclude una polizza del 26 novembre 2008 stipulata presso la __________ per l'assicurazione di autoveicoli, una comunicazione 7 maggio 2011 del relativo premio, un documento del 30 dicembre 2010 che attesta l'ammontare dell'imposta di circolazione, un contratto di leasing del 29 settembre 2008, una ricevuta inerente a una rata del leasing pagata il 27 giugno 2011 e una polizza del 1° settembre 2005 per l'assicurazione responsabilità civile, sempre presso la __________. Ora, i n virtù dell'art. 317 cpv. 1 CPC nuovi mezzi di prova sono proponibili in appello se vengono immediatamente addotti e se dinanzi alla giurisdizione inferiore non era possibile farli valere nemmeno con la diligenza esigibile, tenuto conto delle circostanze. La regola vale anche nelle cause rette dal principio inquisitorio “attenuato” (“limitato”, “sociale”) che informa le procedure sommarie (art. 272 CPC) come le protezioni dell'unione coniugale (DTF 138 III 626 consid. 2.2; I CCA, sentenza inc. 11.2012.79 dell'11 marzo 2013, consid. 2 ). Ne segue che in concreto solo i documenti del</w:t>
      </w:r>
    </w:p>
    <w:p>
      <w:r>
        <w:rPr>
          <w:b/>
        </w:rPr>
        <w:t>E. 7</w:t>
      </w:r>
    </w:p>
    <w:p>
      <w:r>
        <w:t>Relativamente ai contributi alimentari per i figli, il Pretore aggiunto ha accertato il reddito del marito in fr. 5610.– mensili a fronte di un fabbisogno minimo di fr. 2992.15 mensili (minimo esistenziale del diritto esecutivo fr. 1200.–, costo dell'alloggio fr. 1300.–, premio della cassa malati fr. 380.55, assicurazione dell'economia domestica e RC fr. 20.–, abbonamento “arcobaleno” per 4 zone fr. 91.60). Quanto alla moglie, il primo giudice ne ha calcolato le entrate in fr. 1484.15 mensili, definendone il fabbisogno minimo in fr. 2279.– mensili (minimo esistenziale del diritto esecutivo per genitore affidatario fr. 1350.–, costo dell'alloggio fr. 500.– [già dedotte le quote comprese nei fabbisogni in denaro dei figli], premio della cassa malati fr. 333.–, assicurazione dell'economia domestica e RC fr. 20.–, abbonamento “arcobaleno” per 3 zone fr. 76.–). Quanto ai fabbisogni in denaro dei figli, il Pretore aggiunto li ha determinati in base alle raccomandazioni pubblicate dall'Ufficio della gioventù e dell'orientamento professionale del Canton Zurigo, deducendo metà della posta per cura e educazione (prestata in natura dalla madre) e adattando il costo dell'alloggio alla spesa effettiva. Ha valutato così quello di R__________ in fr. 1565.– mensili e quello di A__________ in fr. 1465.– mensili. Ciò premesso, egli ha constatato nel bilancio familiare un ammanco di fr. 1207.– mensili. E siccome la moglie non chiedeva contributi alimentari per sé, egli ha obbligato il marito a versare un contributo alimentare per R__________ di fr. 1352.10 mensili (assegni familiari compresi) e per A__________ di fr. 1265.70 mensili (assegni familiari compresi). a) L'appellante fa valere che il suo fabbisogno minimo ammonta a fr. 3490.– mensili, dolendosi che per le trasferte il Pretore aggiunto gli abbia riconosciuto una spesa di soli fr. 91.60 mensili (costo dell'abbonamento “arcobaleno” per 4 zone) anziché il costo di fr. 500.– mensili da lui effettivamente sostenuto. A tale scopo egli acclude la documentazione inerente alle spese d'automobile (sopra, consid. 2). Adduce inoltre che dall'ottobre del 2011 egli avrebbe svolto la propria attività di tecnico anche al Centro cantonale di radiologia di __________, onde la necessità di un'automobile per raggiungere i posti di lavoro. Ora, il coniuge che durante la vita in comune adoperava un'automobile ha diritto di vedersi inserire nel fabbisogno minimo – in linea di principio – i costi d'uso, sempre che il bilancio familiare consenta di finanziarli. In caso contrario, se le trasferte sono nondimeno indispensabili per scopi professionali, per motivi di salute o per esercitare il diritto di visita, va inserito nel fabbisogno minimo del coniuge il costo dell'abbonamento ai mezzi pubblici (RtiD I-2010 pag. 699 n. 20c). b) In concreto si è visto che la situazione finanziaria della famiglia è precaria (consid. 6) e che i redditi dei coniugi non permettono di finanziare integralmente i costi delle due economie domestiche. Nel fabbisogno minimo del marito può quindi essere inserito solo il costo dei mezzi pubblici per recarsi da __________ a __________ o a __________. D'altronde l'appellante non ha specificato (in particolare per quanto attiene alla frequenza) né ha reso verosimile l'affermazione secondo cui, con l'apertura del Centro cantonale di radiologia a __________ (ottobre del 2011), egli sarebbe stato chiamato a svolgere la sua attività anche presso l'Ospedale regionale di __________. In ogni modo rimane pur sempre all'interessato la facoltà di chiedere una modifica dei contributi alimentari qualora le condizioni economiche migliorassero (art. 179 cpv. 1 CC). Anche su questo punto l'appello è destinato così all'insuccesso.</w:t>
      </w:r>
    </w:p>
    <w:p>
      <w:r>
        <w:rPr>
          <w:b/>
        </w:rPr>
        <w:t>E. 8</w:t>
      </w:r>
    </w:p>
    <w:p>
      <w:r>
        <w:t>Le spese processuali seguono la soccombenza dell'appellante (art. 106 cpv. 1 CPC). Non si pone invece problema di ripetibili, l'appello non essendo stato intimato a AO 1 per osservazioni.</w:t>
      </w:r>
    </w:p>
    <w:p>
      <w:r>
        <w:rPr>
          <w:b/>
        </w:rPr>
        <w:t>E. 9</w:t>
      </w:r>
    </w:p>
    <w:p>
      <w:r>
        <w:t>Circa i rimedi esperibili contro l'odierna sentenza sul piano federale (art. 112 cpv. 1 lett. d LTF), il valore litigioso supera ampiamente la soglia di fr. 30 000.– sotto il profilo dell'art. 74 cpv. 1 lett. b LTF. Per questi motivi, decide: 1.   L'appello è respinto e la sentenza impugnata è confermata. 2.   Le spese processuali di fr. 500.– sono poste a carico dell'appellante. 3.   Notificazione: – ; – . Comunicazione alla Pretura della giurisdizione di Locarno Città.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