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11.2008.59 vom 3. Mai 2010</w:t>
      </w:r>
    </w:p>
    <w:p>
      <w:r>
        <w:t>TI Tribunale d'appello, 2010-05-03, IT</w:t>
      </w:r>
    </w:p>
    <w:p>
      <w:r>
        <w:rPr>
          <w:b/>
        </w:rPr>
        <w:t xml:space="preserve">Quelle: </w:t>
      </w:r>
      <w:r>
        <w:t>https://mcp.opencaselaw.ch/entscheid/ti_gerichte_11.2008.59</w:t>
      </w:r>
    </w:p>
    <w:p>
      <w:r>
        <w:t>FR: TI_GERICHTE 11.2008.59 du 3 mai 2010</w:t>
      </w:r>
    </w:p>
    <w:p>
      <w:r>
        <w:t>IT: TI_GERICHTE 11.2008.59 del 3 maggio 2010</w:t>
      </w:r>
    </w:p>
    <w:p>
      <w:pPr>
        <w:pStyle w:val="Heading2"/>
      </w:pPr>
      <w:r>
        <w:t>Regeste</w:t>
      </w:r>
    </w:p>
    <w:p>
      <w:r>
        <w:t>Registro fondiario. Ricorso contro l'operato dell'ufficiale. Menzioni di autorizzazioni precarie nel registro fondiario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 concreto l ' autorità di vigilanza ha accertato che la costruzione progettata dall ' istante non rispetta la distanza legale minima di 4 m dal confine della particella n. 129, ma che il 13 settembre 2007 __________, proprietario della particella n. 129, ha concesso all'istante un precario a tempo indeterminato per edificare l'opera in deroga alle distanze legali. Tale pattuizione è parte integrante della convenzione siglata l ' 8 ottobre 2007 da RI 1 con il Municipio di __________. Sta di fatto – ha continuato l'autorità di vigilanza – che l'accordo del 13 settembre 2007 rimane un'intesa tra privati, poiché non riguarda fondi dell'ente pubblico. Il coinvolgimento del Municipio è “finalizzato unicamente alla formalizzazione del rilascio della licenza edilizia in sanatoria”. Onde, in definitiva, il rigetto del ricorso.</w:t>
      </w:r>
    </w:p>
    <w:p>
      <w:r>
        <w:rPr>
          <w:b/>
        </w:rPr>
        <w:t>E. 3</w:t>
      </w:r>
    </w:p>
    <w:p>
      <w:r>
        <w:t>La ricorrente contesta che la convenzione sottoscritta con il Municipio l '</w:t>
      </w:r>
    </w:p>
    <w:p>
      <w:r>
        <w:rPr>
          <w:b/>
        </w:rPr>
        <w:t>E. 8</w:t>
      </w:r>
    </w:p>
    <w:p>
      <w:r>
        <w:t>La comunicazione dell'odierno giudizio avviene anche all'Ufficio federale di giustizia, come stabilisce l'art. 102 cpv. 2 RRF , seppure tale prassi sia oggi desueta in molti Cantoni ( Deschenaux , Le registre foncier, in: Traité de droit privé suisse, Vol. V/II.2, Friburgo 1983, pag. 169). Per questi motivi, pronuncia: I.   Il ricorso è accolto, nel senso che la decisione impugnata è così riformata: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