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11.2008.159 vom 24. November 2008</w:t>
      </w:r>
    </w:p>
    <w:p>
      <w:r>
        <w:t>TI Tribunale d'appello, 2008-11-24, IT</w:t>
      </w:r>
    </w:p>
    <w:p>
      <w:r>
        <w:rPr>
          <w:b/>
        </w:rPr>
        <w:t xml:space="preserve">Quelle: </w:t>
      </w:r>
      <w:r>
        <w:t>https://mcp.opencaselaw.ch/entscheid/ti_gerichte_11.2008.159</w:t>
      </w:r>
    </w:p>
    <w:p>
      <w:r>
        <w:t>FR: TI_GERICHTE 11.2008.159 du 24 novembre 2008</w:t>
      </w:r>
    </w:p>
    <w:p>
      <w:r>
        <w:t>IT: TI_GERICHTE 11.2008.159 del 24 novembre 2008</w:t>
      </w:r>
    </w:p>
    <w:p>
      <w:pPr>
        <w:pStyle w:val="Heading2"/>
      </w:pPr>
      <w:r>
        <w:t>Regeste</w:t>
      </w:r>
    </w:p>
    <w:p>
      <w:r>
        <w:t>Protezione dell'unione coniugale: organizzazione della vita separata</w:t>
      </w:r>
    </w:p>
    <w:p>
      <w:pPr>
        <w:pStyle w:val="Heading2"/>
      </w:pPr>
      <w:r>
        <w:t>Erwägungen</w:t>
      </w:r>
    </w:p>
    <w:p>
      <w:r>
        <w:rPr>
          <w:b/>
        </w:rPr>
        <w:t>E. 4</w:t>
      </w:r>
    </w:p>
    <w:p>
      <w:r>
        <w:t>L'appellante insta perché la moglie sia tenuta a versargli un contributo alimentare di fr. 1500.– mensili, definendo sé stesso come “l'anello più debole della famiglia”. Nemmeno tale pretesa però è stata formulata dinanzi al Pretore, onde la sua manifesta inammissibilità. Del resto l'appellante non spiega per nulla come la moglie potrebbe, con un guadagno netto di fr. 2884.75 mensili (doc. F), erogargli una rendita di fr. 1500.–. Al riguardo l'appello risulta improponibile anche per difetto di motivazione (art. 309 cpv. 2 lett. f CPC combinato con il cpv. 5). Quanto agli averi di cassa pensione, giovi ricordare che il vicendevole riparto delle prestazioni d'uscita (art. 122 segg. CC) è possibile solo in caso di divorzio. La separazione dei coniugi – e a maggior ragione la mera separazione di fatto – non fonda alcuna pretesa per quanto attiene al “secondo pilastro”.</w:t>
      </w:r>
    </w:p>
    <w:p>
      <w:r>
        <w:rPr>
          <w:b/>
        </w:rPr>
        <w:t>E. 5</w:t>
      </w:r>
    </w:p>
    <w:p>
      <w:r>
        <w:t>Se ne conclude che, sfornito di buon diritto, l'appello è destinato all'insuccesso. Gli oneri processuali seguirebbero la soccombenza (art. 148 cpv. 1 CPC), ma le condizioni economiche verosimil­mente difficili in cui si trova l'appellante inducono a prescindere da ogni prelievo. Non si pone invece problema di ripetibili, il memoriale non essendo stato notificato all'istante per osservazioni.</w:t>
      </w:r>
    </w:p>
    <w:p>
      <w:r>
        <w:rPr>
          <w:b/>
        </w:rPr>
        <w:t>E. 6</w:t>
      </w:r>
    </w:p>
    <w:p>
      <w:r>
        <w:t>Circa i rimedi giuridici esperibili sul piano federale contro l'odierna sentenza (art. 112 cpv. 1 lett. d LTF), già il valore capitalizzato del contributo ali­mentare rivendicato dall'appellante (fr. 1500.– mensili vita natural durante) raggiunge la soglia di fr. 30 000.– ai fini di un eventuale ricorso in materia civile (art. 74 cpv. 1 lett. b LTF). Per questi motivi, in applicazione dell'art. 313 bis CPC, pronuncia: 1.   L'appello è irricevibile. 2.   Non si riscuotono tasse o spese né si assegnano ripetibili. 3.   Intimazione: –; –. Comunicazione alla Pretura del Distretto di Riviera. Per la prima Camera civile del Tribunale d ' appello Il presidente                                                           La segretaria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