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11.2007.26 vom 28. Februar 2007</w:t>
      </w:r>
    </w:p>
    <w:p>
      <w:r>
        <w:t>TI Tribunale d'appello, 2007-02-28, IT</w:t>
      </w:r>
    </w:p>
    <w:p>
      <w:r>
        <w:rPr>
          <w:b/>
        </w:rPr>
        <w:t xml:space="preserve">Quelle: </w:t>
      </w:r>
      <w:r>
        <w:t>https://mcp.opencaselaw.ch/entscheid/ti_gerichte_11.2007.26</w:t>
      </w:r>
    </w:p>
    <w:p>
      <w:r>
        <w:t>FR: TI_GERICHTE 11.2007.26 du 28 février 2007</w:t>
      </w:r>
    </w:p>
    <w:p>
      <w:r>
        <w:t>IT: TI_GERICHTE 11.2007.26 del 28 febbraio 2007</w:t>
      </w:r>
    </w:p>
    <w:p>
      <w:pPr>
        <w:pStyle w:val="Heading2"/>
      </w:pPr>
      <w:r>
        <w:t>Regeste</w:t>
      </w:r>
    </w:p>
    <w:p>
      <w:r>
        <w:t>edizione di documenti: Inammissibilità dell'appello presentato da una parte verso il decreto di edizione rivolto a terzi (conferma della giurisprudenza)</w:t>
      </w:r>
    </w:p>
    <w:p>
      <w:pPr>
        <w:pStyle w:val="Heading2"/>
      </w:pPr>
      <w:r>
        <w:t>Erwägungen</w:t>
      </w:r>
    </w:p>
    <w:p>
      <w:r>
        <w:rPr>
          <w:b/>
        </w:rPr>
        <w:t>E. 000</w:t>
      </w:r>
    </w:p>
    <w:p>
      <w:r>
        <w:t>franchi; quando il valore litigioso non raggiunge tale importo, il ricorso in materia civile è ammissibile se la controversia concerne una questione di diritto di importanza fondamentale (art. 74 e 100 cpv. 1 LTF). La legittimazione a ricorrere è disciplinata dall'art. 76 LTF. Laddove non sia ammissibile il ricorso in materia civile è dato, entro lo stesso termine, il ricorso sussidiario in materia costituzionale al Tribunale federale per i motivi previsti dall'art. 116 LTF (art. 113 LTF). La legittimazione a ri­correre è disciplinata in tal caso dall'art. 115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