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11.2007.162 vom 15. September 2003</w:t>
      </w:r>
    </w:p>
    <w:p>
      <w:r>
        <w:t>TI Tribunale d'appello, 2003-09-15, IT</w:t>
      </w:r>
    </w:p>
    <w:p>
      <w:r>
        <w:rPr>
          <w:b/>
        </w:rPr>
        <w:t xml:space="preserve">Quelle: </w:t>
      </w:r>
      <w:r>
        <w:t>https://mcp.opencaselaw.ch/entscheid/ti_gerichte_11.2007.162_d20030915</w:t>
      </w:r>
    </w:p>
    <w:p>
      <w:r>
        <w:t>FR: TI_GERICHTE 11.2007.162 du 15 septembre 2003</w:t>
      </w:r>
    </w:p>
    <w:p>
      <w:r>
        <w:t>IT: TI_GERICHTE 11.2007.162 del 15 settembre 2003</w:t>
      </w:r>
    </w:p>
    <w:p>
      <w:pPr>
        <w:pStyle w:val="Heading2"/>
      </w:pPr>
      <w:r>
        <w:t>Regeste</w:t>
      </w:r>
    </w:p>
    <w:p>
      <w:r>
        <w:t>Rimozione del tutore</w:t>
      </w:r>
    </w:p>
    <w:p>
      <w:pPr>
        <w:pStyle w:val="Heading2"/>
      </w:pPr>
      <w:r>
        <w:t>Erwägungen</w:t>
      </w:r>
    </w:p>
    <w:p>
      <w:r>
        <w:rPr>
          <w:b/>
        </w:rPr>
        <w:t>E. 2</w:t>
      </w:r>
    </w:p>
    <w:p>
      <w:r>
        <w:t>Legittimato ad appellare in materia di tutele non è qualsiasi terzo, ma solo chi invochi legittimi interessi del pupillo oppure chi lamenti una violazione dei suoi propri diritti o interessi personali (DTF 121 III 3 consid. 2a; più restrittivo: Geiser in: Basler Kommentar, ZGB I, 3 ª edizione, n. 31 ad art. 420). Ciò vale anche nel caso in cui litigiosa sia la rimozione o sostituzione di un tutore ( Geiser , op. cit., n. 6 e 30 ad art. 446–450 CC). AP 1 non pretende di rappresentare i legittimi interessi della sorella. Che egli possa far valere diritti o interessi propri alla rimozione del contutore è più che dubbio (cfr. DTF 121 III 4 consid. 2b). Comunque sia, dato quanto segue, non è il caso di approfondire il tema. Nella fattispecie l'interrogativo può dunque rimanere irrisolto.</w:t>
      </w:r>
    </w:p>
    <w:p>
      <w:r>
        <w:rPr>
          <w:b/>
        </w:rPr>
        <w:t>E. 3</w:t>
      </w:r>
    </w:p>
    <w:p>
      <w:r>
        <w:t>L'autorità tutoria rimuove dal suo ufficio il tutore che si rende colpevole di una grave negligenza o di un abuso delle sue attribuzioni o commette un'azione tale da dimostrarlo indegno della fiducia in lui riposta, o è diventato insolvente (art. 445 cpv. 1 CC). Ove il tutore si riveli inidoneo ad adempiere i suoi doveri, anche senza che vi sia colpa da parte sua, l'autorità tutoria può rimuoverlo se gli interessi del tutelato sono esposti a pericolo (art. 445 cpv. 2 CC). In difetto di simili estremi un tutore non può essere destituito, né può rinunciare lui medesimo all'incarico, per lo meno durante il periodo di nomina ( Geiser , op. cit., n. 4 ad art. 415 CC con rinvii).</w:t>
      </w:r>
    </w:p>
    <w:p>
      <w:r>
        <w:rPr>
          <w:b/>
        </w:rPr>
        <w:t>E. 4</w:t>
      </w:r>
    </w:p>
    <w:p>
      <w:r>
        <w:t>In concreto l'appellante non prospetta nessun motivo di rimozione a norma dell'art. 445 CC. Crede di poter esigere l'allontanamento di __________ perché nessuna norma lo obbligherebbe a tollerare un funzionario statale in qualità di contutore. Così argomentando, egli dimentica tuttavia che __________ è contutore di __________, non suo. Ed egli non pretende di rappresentare gli interessi della sorella, tant'è che nel “ ricorso ” parla soltanto per sé. Sia come sia, procedesse pure l'appellante in luogo e vece della sorella, l'obbligo di tollerare un tutore – si tratti di un pubblico funzionario o di un privato cittadino, poco importa – discende dall'esistenza stessa dell'interdizione, istituita nella fattispecie come tutela volontaria (art. 372 CC). Dacché è stato nominato, poi (di regola per due anni: art. 415 cpv. 1 CC), il tutore può essere sollevato dal proprio incarico solo qualora sussistano – come si è appena spiegato – gli estremi dell'art. 445 CC. Una ripudiazione a beneplacito o una sostituzione per volontà unilaterale non può entrare in linea di conto.</w:t>
      </w:r>
    </w:p>
    <w:p>
      <w:r>
        <w:rPr>
          <w:b/>
        </w:rPr>
        <w:t>E. 5</w:t>
      </w:r>
    </w:p>
    <w:p>
      <w:r>
        <w:t>Manifestamente infondato, in quanto ammissibile il “ ricorso ” dell'appellante risulta così destinato all'insuccesso. Quanto delle disposizioni di legge che egli chiede di poter consultare, il testo completo del Codice civile svizzero è reperibile all'indirizzo dell'Am­ministrazione federale ‹ www.admin.ch/ch/i/rs/2/210.it.pdf ›.</w:t>
      </w:r>
    </w:p>
    <w:p>
      <w:r>
        <w:rPr>
          <w:b/>
        </w:rPr>
        <w:t>E. 6</w:t>
      </w:r>
    </w:p>
    <w:p>
      <w:r>
        <w:t>Gli oneri del giudizio odierno seguirebbero la soccombenza (art. 148 cpv. 1 CPC), ma per questa volta si può rinunciare – in via eccezionale – a ogni prelievo (art. 148 cpv. 2 CPC), l'appellante essendo sprovvisto di cognizioni giuridiche e avendo agito senza l'ausilio di un patrocinatore. Non si pone invece problema di ripetibili, l'appello non avendo formato oggetto di intimazione.</w:t>
      </w:r>
    </w:p>
    <w:p>
      <w:r>
        <w:rPr>
          <w:b/>
        </w:rPr>
        <w:t>E. 7</w:t>
      </w:r>
    </w:p>
    <w:p>
      <w:r>
        <w:t>Per quel che è dei rimedi giuridici proponibili sul piano federale contro la presente sentenza (art. 112 cpv. 1 lett. d LTF), in tema di vigilanza sulle autorità tutorie, e più in particolare in merito alla rimozione o alla sostituzione di un tutore, è dato ricorso in materia civile al Tribunale federale senza riguardo a questioni di valore (art. 72 cpv. 2 lett. b n. 5 LTF; Geiser , op. cit., n. 31 ad art. 451–453 CC). Per questi motivi, in applicazione dell'art. 313 bis CPC, pronuncia: 1.   Nella misura in cui è ricevibile, l'appello è respinto e la decisione impugnata è confermata. 2.   Non si riscuotono tasse o spese né si assegnano ripetibili. 3.   Intimazione: –   ; –  . Comunicazione: –  , ; – , , ; – , ; – , . terzi implicati Per la prima Camera civile del Tribunale d'appello Il presidente                                                           Il segretario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