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11.2006.97 vom 21. Juni 2012</w:t>
      </w:r>
    </w:p>
    <w:p>
      <w:r>
        <w:t>TI Tribunale d'appello, 2012-06-21, IT</w:t>
      </w:r>
    </w:p>
    <w:p>
      <w:r>
        <w:rPr>
          <w:b/>
        </w:rPr>
        <w:t xml:space="preserve">Quelle: </w:t>
      </w:r>
      <w:r>
        <w:t>https://mcp.opencaselaw.ch/entscheid/ti_gerichte_11.2006.97</w:t>
      </w:r>
    </w:p>
    <w:p>
      <w:r>
        <w:t>FR: TI_GERICHTE 11.2006.97 du 21 juin 2012</w:t>
      </w:r>
    </w:p>
    <w:p>
      <w:r>
        <w:t>IT: TI_GERICHTE 11.2006.97 del 21 giugno 2012</w:t>
      </w:r>
    </w:p>
    <w:p>
      <w:pPr>
        <w:pStyle w:val="Heading2"/>
      </w:pPr>
      <w:r>
        <w:t>Regeste</w:t>
      </w:r>
    </w:p>
    <w:p>
      <w:r>
        <w:t>Misure cautelari a protezione della personalità</w:t>
      </w:r>
    </w:p>
    <w:p>
      <w:pPr>
        <w:pStyle w:val="Heading2"/>
      </w:pPr>
      <w:r>
        <w:t>Erwägungen</w:t>
      </w:r>
    </w:p>
    <w:p>
      <w:r>
        <w:rPr>
          <w:b/>
        </w:rPr>
        <w:t>E. 1</w:t>
      </w:r>
    </w:p>
    <w:p>
      <w:r>
        <w:t>La procedura per l'emanazione di provvedimenti cautelari a norma l'art. 28 c vCC era, salvo quanto disponeva il diritto federale (art. 28 d vCC), quella degli art. 376 segg. CPC ticinese ( Bucher , Personnes physiques et protection de la personnalité, 5ª edizione, pag. 135 n. 633). Il termine per appellare, non interrotto dalle ferie giudiziarie (art. 384 bis CPC ticinese), era di dieci giorni (art. 308 cpv. 1 CPC ticinese). Nella fattispecie il decreto cautelare è stato notificato agli istanti l ' 11 settembre 2006. Tempestivo, l'appello in esame è dunque ricevibile.</w:t>
      </w:r>
    </w:p>
    <w:p>
      <w:r>
        <w:rPr>
          <w:b/>
        </w:rPr>
        <w:t>E. 2</w:t>
      </w:r>
    </w:p>
    <w:p>
      <w:r>
        <w:t>L ' appellante postula il richiamo dal __________ del progetto di risanamento dell ' impianto di depurazione di __________ e l ' assunzione di due referti specialistici e di articoli di giornale (appello, n. 7 pag. 12 in alto). Prove, precisa, già offerte dinanzi al Pretore, ma respinte con decreto del 13 luglio 2006 (appello, n.</w:t>
      </w:r>
    </w:p>
    <w:p>
      <w:r>
        <w:rPr>
          <w:b/>
        </w:rPr>
        <w:t>E. 7</w:t>
      </w:r>
    </w:p>
    <w:p>
      <w:r>
        <w:t>pag. 11 verso il basso) . Le richieste, di per sé proponibili (art. 322 lett. b CPC ticinese), sono irricevibili, si interpretino le domande del 12 e del 19 giugno e dell '</w:t>
      </w:r>
    </w:p>
    <w:p>
      <w:r>
        <w:rPr>
          <w:b/>
        </w:rPr>
        <w:t>E. 11</w:t>
      </w:r>
    </w:p>
    <w:p>
      <w:r>
        <w:t>Gli oneri del giudizio odierno seguono la soccombenza dell'appellante (art. 148 cpv. 1 CPC ticinese), che rifonderà a ciascun convenuto un'equa indennità per ripetibili.</w:t>
      </w:r>
    </w:p>
    <w:p>
      <w:r>
        <w:rPr>
          <w:b/>
        </w:rPr>
        <w:t>E. 12</w:t>
      </w:r>
    </w:p>
    <w:p>
      <w:r>
        <w:t>Per quanto attiene ai rimedi giuridici esperibili contro l'odierna sentenza sul piano federale (art. 112 cpv. 1 lett. d LTF), i provve­dimenti cautelari configurano decisioni incidentali e seguono la via giudiziaria dell'azione principale (art. 51 cpv. 1 lett. c LTF ). L e azioni a protezione della personalità non avendo carattere pecu­niario (sentenza del Tribunale federale inc. 5A_526/2009 del 5 ottobre 2009, consid. 1), un eventuale ricorso in materia civile è dato senza riguardo a questioni di valore. Per questi motivi, vista sulle spese anche la tariffa giudiziaria, pronuncia: 1.   Nella misura in cui è ricevibile, l'appello è respinto e il decreto impugnato è confermato. 2.   Gli oneri processuali, consistenti in: a) tassa di giustizia     fr. 750.– b) spese                       fr. 50.– fr. 800.– sono posti a carico dell'appellante, che rifonderà a AO 1 e a AO 2 fr. 1500.– ciascuno a titolo di ripetibili. 3.   Notificazione: –; –; –. Comunicazione alla Pretura della giurisdizione di Locarno Campagna.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