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11.2006.85 vom 29. September 2006</w:t>
      </w:r>
    </w:p>
    <w:p>
      <w:r>
        <w:t>TI Tribunale d'appello, 2006-09-29, IT</w:t>
      </w:r>
    </w:p>
    <w:p>
      <w:r>
        <w:rPr>
          <w:b/>
        </w:rPr>
        <w:t xml:space="preserve">Quelle: </w:t>
      </w:r>
      <w:r>
        <w:t>https://mcp.opencaselaw.ch/entscheid/ti_gerichte_11.2006.85</w:t>
      </w:r>
    </w:p>
    <w:p>
      <w:r>
        <w:t>FR: TI_GERICHTE 11.2006.85 du 29 septembre 2006</w:t>
      </w:r>
    </w:p>
    <w:p>
      <w:r>
        <w:t>IT: TI_GERICHTE 11.2006.85 del 29 settembre 2006</w:t>
      </w:r>
    </w:p>
    <w:p>
      <w:pPr>
        <w:pStyle w:val="Heading2"/>
      </w:pPr>
      <w:r>
        <w:t>Regeste</w:t>
      </w:r>
    </w:p>
    <w:p>
      <w:r>
        <w:t>Iscrizione di una servitù prediale nel registro fondiario: planimetria senza firma o senza firma autenticata.</w:t>
      </w:r>
    </w:p>
    <w:p>
      <w:pPr>
        <w:pStyle w:val="Heading2"/>
      </w:pPr>
      <w:r>
        <w:t>Erwägungen</w:t>
      </w:r>
    </w:p>
    <w:p>
      <w:r>
        <w:rPr>
          <w:b/>
        </w:rPr>
        <w:t>E. 2</w:t>
      </w:r>
    </w:p>
    <w:p>
      <w:r>
        <w:t>Il giudice chiamato a statuire sull'opposizione a un precetto esecutivo civile esamina d'ufficio – come il giudice chiamato a decidere un rigetto dell'opposizione a norma degli art. 81 o 82 LEF – che il titolo su cui si fonda il precetto sia esecutivo e che la prestazione contenuta nel titolo sia chiara. Nella fattispecie AP 1 e AP 2 chiedono che AO 1 faccia iscrivere nel registro fondiario la servitù prediale costituita a carico della sua particella n. 225 (posa e uso di un tavolo su una superficie di 6 m²). La richiesta è chiara. Anzi, consistendo la prestazione litigiosa – come nella fattispecie – in un'iscrizione nel registro fondiario che l'escusso si è obbligato a chiedere, il precettante potrebbe anche invitare il giudice dell'esecuzione ad autorizzarlo a procedere in luogo e vece del renitente ( Vogel/Spühler , Grund­riss des Zivilprozess­rechts, 8ª edizione, pag. 440 n. 40).</w:t>
      </w:r>
    </w:p>
    <w:p>
      <w:r>
        <w:rPr>
          <w:b/>
        </w:rPr>
        <w:t>E. 3</w:t>
      </w:r>
    </w:p>
    <w:p>
      <w:r>
        <w:t>Secondo il Pretore l'obbligo di cui precettanti chiedono l'adempimento nel caso specifico non è contenuto in un valido titolo giuridico. A mente sua, qualora una servitù sia da eser­citare – come in concreto – su una sola porzione del fondo serviente, l'atto di costituzione dev'essere provvisto di una planimetria da cui si evinca quale sia la superficie gravata. Nel fascicolo processuale figurando solo l'atto costitutivo della servitù, a mente del Pretore l'oggetto del diritto reale limitato non è determinabile. Per di più – ha soggiun­to il primo giudice – nel caso specifico tale atto non può reputarsi esecutivo, poiché la firma della proprietaria del fondo serviente (la precettata medesima) non è autenticata, di modo che l'ufficiale del registro fondiario nemmeno accetterebbe l'iscrizione.</w:t>
      </w:r>
    </w:p>
    <w:p>
      <w:r>
        <w:rPr>
          <w:b/>
        </w:rPr>
        <w:t>E. 4</w:t>
      </w:r>
    </w:p>
    <w:p>
      <w:r>
        <w:t>Dall'argomentazione secondo cui la servitù a carico della particella n. 225 non potrebbe essere iscritta perché la firma di AO 1 sull'atto di costituzione è priva di autentica va subito sgom­brato il campo. I precettanti chiedono in effetti che AO 1 abbia a instare lei medesima per l'iscrizione della servitù, non pretendono di essere autorizzati ad agire in sua vece. Presentandosi personalmente dinanzi all'ufficiale del registro fondiario, AO 1 potrà firmare quindi in presenza dell'ufficiale il formulario di iscrizione previsto dall'art. 13 cpv. 2 RRF, legittimandosi semplicemente con un documento d'identità o una licenza di condurre (Bettina Deillon-Schegg, Grundbuchanmeldung und Prüfungs pflicht des Grundbuchverwalters im Eintragungsverfah­ren, Zurigo 1997, pag. 135 nota 677 con numerosi richiami di dottrina; ora anche Schmid in: Basler Kommentar, 2 ª edizione, n. 29a ad art. 965 CC). Certo, l'ufficiale verificherà altresì che la firma di AO 1 sull'atto costitutivo del 30 luglio 2004 sia autografa (art. 965 cpv. 3 CC). A tal fine gli basterà confrontare tuttavia la firma con quella apposta in sua presenza e vista dell'interessata sul formulario di iscrizione ( Deschenaux, Le registre foncier, in: Traité de droit privé suisse, vol. V, tomo II/2, Friburgo 1983, pag. 383 nota 28 con rinvii di dottrina). Non occorrerebbe pertanto alcuna autentica. Se mai l'ufficiale esigerà che siano autenticate, sull'atto costitutivo del 30 luglio 2004, le firme di AP 1 e AP 2 . Un contratto di servitù prediale dev'essere firmato, invero, anche dal proprietario del fondo dominante ( Petitpierre in: Basler Kommentar, op. cit., n. 127 ad art. 732 CC). In condizioni simili l'ufficiale del registro procede dunque ad appurare l'identità dei contraenti ( Homberger in: Zürcher Kommentar, 2ª edizione, n. 53 ad art. 965 CC). M ancando l'autentica delle firme, non respingerebbe tuttavia l'istanza di iscri­zione per ciò solo. Al contrario: trattandosi unicamente di completare la prova di un diritto di disporre, egli assegnerà all'istante un breve termine per rimediare al difetto (art. 966 cpv. 2 CC). Nemmeno sotto questo profilo la sentenza del Pretore resiste pertanto alla critica.</w:t>
      </w:r>
    </w:p>
    <w:p>
      <w:r>
        <w:rPr>
          <w:b/>
        </w:rPr>
        <w:t>E. 5</w:t>
      </w:r>
    </w:p>
    <w:p>
      <w:r>
        <w:t>Rimane da esaminare se la sentenza impugnata risulti pertinentemente sorretta dall'altra motivazione addotta, fondata sulla circostanza che in concreto l'atto del 30 luglio 2004 risulta sprovvisto di planimetria. Al proposito gli appellanti sostengono che il Pretore è caduto in una svista, la planimetria essendo stata prodotta all'udienza del 22 febbraio 2006. Ora, al verbale d'udienza del 22 febbraio 2006 è effettivamente acclusa una planimetria. Si tratta però della planimetria relativa alla bozza di accordo illustrata dalle parti al Pretore in quell'occasione. Nulla conforta l'ipotesi che tale planimetria sia la stessa cui si riferisce l'atto costitutivo del 30 luglio 2004 (“parte colorata in verde nella planimetria allegata”). Comunque sia, si volesse anche dare per acquisita siffatta circostanza, l'esito del giudizio non muterebbe. A ragione il Pretore rammenta in effetti che qualora l'eser­ci­zio di una servitù sia limitato a una porzione del fondo serviente, l'atto di costituzione deve descrivere in modo chiaro o mediante un piano di situazione quale sia l'area gravata ( Steinauer, Les droits réels, volume II, 3ª edizione, pag. 366 nota 64; Mooser , La description de l'assiette d'une servitude, in: ZBGR/RNRF 72/1991 pag. 259). Anche il piano di situazione dev'essere firmato, il contratto di servitù prediale soggiacendo all'esigenza della forma scritta nel suo intero (art. 732 CC; Liver in: Zürcher Kommentar, 3ª edizione, n. 70 ad art. 731 CC; Mooser , op. cit. pag. 259 in fondo). Nel caso specifico la planimetria prodotta all'udienza del 22 febbraio 2006 reca la sola firma di AP 1 e AP 2 . AO 1 non l'ha sottoscritta. E in un'evenienza del genere l'ufficiale del registro fondiario non può assegnare un termine al richiedente per sanare il vizio. Non si tratta invero di completare semplicemente la prova di un diritto di disporre (art. 966 cpv. 2 CC). Nell'ambito di un atto costitutivo di servitù prediale un piano di situazione approvato solo verbalmente è inefficace, com'è inefficace un contratto vincolato alla forma scritta firmato da una sola parte. In tali casi l'ufficiale respin­ge la domanda di iscrizione. In concreto dunque, si ordinasse pure alla precettata di presentarsi davanti all'ufficiale del registro con la “richiesta di costituzione di servitù” del 30 luglio 2004 munita della planimetria unita al verbale d'udienza del 22 febbraio 2006, l'ufficiale rigetterebbe la richiesta di iscrizione. Ne segue che, in ultima analisi, giustamente il Pretore ha confermato l'opposizione al precetto esecutivo. L'appello è destinato così all'insuccesso.</w:t>
      </w:r>
    </w:p>
    <w:p>
      <w:r>
        <w:rPr>
          <w:b/>
        </w:rPr>
        <w:t>E. 6</w:t>
      </w:r>
    </w:p>
    <w:p>
      <w:r>
        <w:t>Gli oneri del giudizio odierno seguono la soccombenza (art. 148 cpv. 1 CPC), mentre non si giustifica di assegnare ripetibili a AO 1, cui l'appello non è stato intimato e non ha causato costi presumibili. Per questi motivi, in applicazione dell'art. 313 bis CPC, pronuncia: 1.   L'appello è respinto e la sentenza impugnata è confermata. 2.   Gli oneri processuali, consistenti in: a) tassa di giustizia      fr. 350.– b) spese                         fr.   50.– fr. 400.– sono posti a carico degli appellanti in solido. Non si attribuiscono ripetibili. 3.   Intimazione: –    ; –    . Comunicazione alla Pretura della giurisdizione di Mendrisio Nord.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