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11.2006.65 vom 10. Juli 2006</w:t>
      </w:r>
    </w:p>
    <w:p>
      <w:r>
        <w:t>TI Tribunale d'appello, 2006-07-10, IT</w:t>
      </w:r>
    </w:p>
    <w:p>
      <w:r>
        <w:rPr>
          <w:b/>
        </w:rPr>
        <w:t xml:space="preserve">Quelle: </w:t>
      </w:r>
      <w:r>
        <w:t>https://mcp.opencaselaw.ch/entscheid/ti_gerichte_11.2006.65</w:t>
      </w:r>
    </w:p>
    <w:p>
      <w:r>
        <w:t>FR: TI_GERICHTE 11.2006.65 du 10 juillet 2006</w:t>
      </w:r>
    </w:p>
    <w:p>
      <w:r>
        <w:t>IT: TI_GERICHTE 11.2006.65 del 10 luglio 2006</w:t>
      </w:r>
    </w:p>
    <w:p>
      <w:pPr>
        <w:pStyle w:val="Heading2"/>
      </w:pPr>
      <w:r>
        <w:t>Regeste</w:t>
      </w:r>
    </w:p>
    <w:p>
      <w:r>
        <w:t>Esecuzione di commissione rogatoria estera intesa all'edizione di documenti da terzi</w:t>
      </w:r>
    </w:p>
    <w:p>
      <w:pPr>
        <w:pStyle w:val="Heading2"/>
      </w:pPr>
      <w:r>
        <w:t>Erwägungen</w:t>
      </w:r>
    </w:p>
    <w:p>
      <w:r>
        <w:rPr>
          <w:b/>
        </w:rPr>
        <w:t>E. 2</w:t>
      </w:r>
    </w:p>
    <w:p>
      <w:r>
        <w:t>Ciò premesso, nella procedura ticinese l'art. 211 cpv. 2 CPC stabilisce che una domanda di edizione da terzi dev'essere presentata al giudice “al più tardi all'udienza preliminare” e va intimata alla controparte e al terzo. Conformemente all'art. 211 cpv. 3 CPC la controparte discute l'istanza seduta stante; al terzo è assegnato “un termine non superiore a 20 giorni per formulare le proprie osservazioni”. Sulla domanda di edizione il giudice decide poi con decreto e fissa un termine per la produzione, se ammette la domanda (art. 213 a cpv. 1 CPC). Se la domanda non è contestata dalle parti, “il giudice può rinunciare al decreto assegnando un termine alla parte che possiede i documenti o che è nelle migliori condizioni per richiederli dal terzo possessore, per produrli o per documentare il rifiuto del terzo di produrli; in quest'ultimo caso si procederà nel modo previsto dall'art. 211 cpv. 2” (art. 213 a cpv. 2 CPC). Trattandosi di edizione da terzi, valgono i medesimi principi ( Cocchi/Trezzini , op. cit., pag. 606 nota 710). Di conseguenza, ove la parte in causa consenta al­l'edizione, il giudice può rinunciare all'emanazione del decreto e fissare direttamente al terzo un termine perché produca i documen­ti richiesti. Se il terzo si oppone, il giudice statuirà mediante decreto. Si aggiunga che nel diritto ticinese il terzo non può contestare i requisiti dell'edizione per quanto riguarda le parti, nel senso che non può difendere gli interessi dell'attore o del convenuto, sostituendosi a costoro. Può solo difendere i suoi propri interessi giuridicamente protetti, facendo valere – ad esempio – l'intervenuta prescrizione giusta l'art. 962 CO, il pericolo di esporsi a un danno, il rischio di incorrere in sanzioni per la divulgazione di documenti o – a certe condizioni, dandosi un istituto di credito – il segreto bancario tutelato dall'art. 47 LBCR ( Cocchi/Trezzini , op. cit., n. 4, 7 e 8 ad art. 211). Il terzo può, per converso, appellare subito il decreto di edizione a lui sfavorevole, mentre le parti potranno insorgere contro il decreto con cui il Pretore accoglie o respinge l'edizione dal terzo solo al momento in cui potran­no impugnare la sentenza finale (Bollettino dell'Ordine degli avvocati n. 24, pag. 24).</w:t>
      </w:r>
    </w:p>
    <w:p>
      <w:r>
        <w:rPr>
          <w:b/>
        </w:rPr>
        <w:t>E. 3</w:t>
      </w:r>
    </w:p>
    <w:p>
      <w:r>
        <w:t>Quanto distingue il caso in esame da una procedura di edizione del diritto interno consiste nel fatto che, trovandosi a eseguire una commissione rogatoria in tale materia, il Pretore non deve statuire sugli argomenti addotti dall'attore o dal convenuto a favore o a sfavore della domanda. Non occorre quindi che indaghi se la parte in causa consenta o non consenta all'edizione. Al momento in cui l'atto rogatorio giunge al Pretore, l'eventuale contestazione è già stata decisa dal tribunale estero e più non sussiste. Al Pretore rimane da giudicare la possibile opposizione del terzo detentore dei documenti, il quale deve poter far valere i suoi diritti in base alle disposizioni appli­cabili nello Stato richiesto (alla stessa stregua di un testimone: art. 11 cpv. 1 della citata Convenzione sull'assunzione all'estero delle prove in materia civile e commerciale). Ora, non sussistendo contestazione della parte in causa all'edizione, non è necessario che il Pretore impartisca al terzo un termine per formulare osservazioni. È sufficiente che fissi a quest'ultimo un termine per produrre i documen­ti richiesti. Se poi il terzo si oppone, il giudice statuirà mediante decreto. Ad ogni buon conto, l'atto con cui il Pretore assegna al terzo un termine per produrre i documenti non è una sentenza, né tanto meno un decreto. È una semplice ordinanza. Non è quindi appellabile (art. 95 cpv. 1 CPC). Nel caso in cui resista all'edizione, il terzo impugnerà il decreto a lui sfavorevole (art. 213 a cpv. 1 CPC per analogia; in tal senso: II CCA, sentenza inc. 12.1999.199 del 10 febbraio 2000).</w:t>
      </w:r>
    </w:p>
    <w:p>
      <w:r>
        <w:rPr>
          <w:b/>
        </w:rPr>
        <w:t>E. 4</w:t>
      </w:r>
    </w:p>
    <w:p>
      <w:r>
        <w:t>Resta da esaminare la posizione della parte in causa che non consenta all'edizione dei documenti o all'esecuzione della rogatoria. Ora, come si è accennato, l'eventuale opposizione di lei all'edizione dei documenti è già stata rimossa dal tribunale estero che chiede l'assistenza giudiziaria. In proposito, dunque, essa non è più abilitata a muovere critiche. La parte può censurare se mai l'esegui­bilità della rogatoria, anche perché l'applicazione della Convenzione sull'assun­zione all'estero delle prove in materia civile e commerciale non è appannaggio dello Stato richiedente. Il quesito è di sapere in che modo la parte abbia diritto di esprimer­si al riguardo. Si applicasse l'art. 211 cpv. 3 CPC per analogia, il Pretore dovrebbe notificarle l'atto rogatorio prima ancora di interpellare il terzo. L'ipotesi è prospettabile, ma solo qualora la notifica possa avvenire a breve termine, ledendosi altrimenti l'art.</w:t>
      </w:r>
    </w:p>
    <w:p>
      <w:r>
        <w:rPr>
          <w:b/>
        </w:rPr>
        <w:t>E. 9</w:t>
      </w:r>
    </w:p>
    <w:p>
      <w:r>
        <w:t>cpv. 2 della Convenzione sull'assunzione all'estero delle prove in materia civile e commerciale, che prevede di eseguire la rogatoria “d'urgenza”. In tutti gli altri casi appare opportuno che sull'esecuzione della rogatoria le parti si esprimano in sede di assunzione della prova. L'art. 7 della nota Convenzione prevede in effetti che “l'autorità richiedente è informata, se lo richiede, della data e del luogo in cui avrà luogo il procedimento, affinché le parti interessate e, se del caso, i loro rappresentanti possano assistervi. Tale comunicazione deve essere indirizzata direttamente alle suddette parti o ai loro rappresentanti, quando l'autorità richiedente ne faccia richiesta”. Per vedersi garantire il diritto di essere sentite, basta quindi che le parti si occupino di far comunicare dal tribunale estero – come in concreto – la loro intenzione di presenziare all'assunzione della prova. Dandosi obiezioni, prima di trasmettere le risultanze all'autorità richiedente il Pretore dirimerà le contestazioni. Un altro problema è sapere se la decisione del Pretore sia poi impugnabile. Recentemente la seconda Camera civile di appello ha deciso negativamente, ma ha nondimeno esaminato d'ufficio se il Pretore avesse garantito alle parti – e al terzo – il diritto di esprimersi (sentenza inc. 12.2006.89 del 25 aprile 2006, pag. 3). Tale orientamento non manca di destare perplessità. Che le contestazioni dell'una o dell'altra parte in materia di edizione siano già state decise in via definitiva dal tribunale estero – contrariamente alle eventuali contestazioni del terzo – è vero. Nella misura tuttavia in cui l'una o l'altra parte contesti non l'edizione in sé, ma l'esecuzione della rogatoria da parte del Pretore (ovvero l'ap­plicazione della Convenzione sull'assunzione all'estero delle pro­ve in materia civile e commerciale) appare dubbio che la contesa possa essere semplicemente rinviata davanti al tribunale di merito. Sia come sia, la riflessione non influisce – come si vedrà – sull'esito dell'attuale giudizio. Non giova pertanto di condurre approfondimenti in questa sede. 5. Tornando al caso precipuo, nella fattispecie il Segretario assessore non ha ancora conferito alle parti il diritto di esprimersi sull'attuazione della rogatoria, limitandosi a interpellare tre istituti bancari perché producano i documenti o – in caso di rifiuto – formulino le loro osservazioni entro 20 giorni. Già si è spiegato che tale atto non è una sentenza, né tanto meno un decreto, ma una semplice ordinanza (consid. 3). L'appello in esame va pertanto dichiarato irricevibile. Ciò non significa che l'appellante non abbia alcun diritto di esprimersi. Il Segretario assessore avendo rinunciato a intimargli l'atto rogatorio per osservazioni (quantunque la notifica potesse avvenire a breve termine, i suoi rappresentanti legali essendo domiciliati nel Ticino), l'interessato andrà sentito nel quadro dell'art. 7 della Convenzione sull'assunzione all'estero delle prove in materia civile e commerciale, ovvero al momento in cui l'edizione sarà eseguita. Si ricordi che lo stesso tribunale richiedente ha invitato il Pretore, nell'atto rogatorio, a “informare della data e del luogo in cui si provvederà ad eseguire le attuazioni richieste, affinché le parti interessate possano assistervi” (pag. 3 in fondo). Dovessero manifestarsi in quell'ambito contestazioni sull'esecuzione della rogatoria (non – si ripete – sull'edizione), il primo giudice statuirà al riguardo. 6. L'emanazione del giudizio odierno rende senza oggetto la domanda di effetto sospensivo contenuta nell'appello. Quanto agli oneri processuali, essi seguirebbero la soccombenza (art. 148 cpv. 1 CPC). Non si deve trascurare tuttavia che l'appellante può essere stato indotto a piatire in buona fede, giacché la lettera del 7 giugno 2006 inviatagli dal Segretario assessore (sopra, lett. C) evocava bensì l'art. 7 della Convenzione sull'assunzione all'estero delle prove in materia civile e commerciale, ma non spiegava concretamente in che modo egli avrebbe potuto espri­mersi e lasciava credere anzi che tale coinvolgimento sarebbe avvenuto solo a titolo eventuale (“se del caso”). In simili circostanze si giustifica pertanto di rinunciare equitativamente al prelievo di tasse o spese (v. per analogia l'art. 159 cpv. 3 in fine OG). Il rigetto dell'appello in ordine non legittima, ad ogni modo, l'attribuzione di ripetibili. Per questi motivi, in applicazione dell'art. 313 bis CPC, pronuncia: 1.   L'appello è irricevibile. 2.   Non si riscuotono tasse o spese né si assegnano ripetibili. 3.   Intimazione: –; –. Comunicazione: – –; –; –; – ; –.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