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11.2006.157 vom 20. Februar 2012</w:t>
      </w:r>
    </w:p>
    <w:p>
      <w:r>
        <w:t>TI Tribunale d'appello, 2012-02-20, IT</w:t>
      </w:r>
    </w:p>
    <w:p>
      <w:r>
        <w:rPr>
          <w:b/>
        </w:rPr>
        <w:t xml:space="preserve">Quelle: </w:t>
      </w:r>
      <w:r>
        <w:t>https://mcp.opencaselaw.ch/entscheid/ti_gerichte_11.2006.157</w:t>
      </w:r>
    </w:p>
    <w:p>
      <w:r>
        <w:t>FR: TI_GERICHTE 11.2006.157 du 20 février 2012</w:t>
      </w:r>
    </w:p>
    <w:p>
      <w:r>
        <w:t>IT: TI_GERICHTE 11.2006.157 del 20 febbraio 2012</w:t>
      </w:r>
    </w:p>
    <w:p>
      <w:pPr>
        <w:pStyle w:val="Heading2"/>
      </w:pPr>
      <w:r>
        <w:t>Regeste</w:t>
      </w:r>
    </w:p>
    <w:p>
      <w:r>
        <w:t>Misure a protezione dell'unione coniugale. Disciplina delle relazioni personali tra padre e figlia; istituzione di una curatela di sorveglianza; contributo di mantenimento per madre e figlia</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 CPC ticinese). L'esame dei fatti era limitato alla verosimiglianza (Rep. 1991 pag. 432 consid. 4a) e la sentenza del Pretore era impugnabile entro dieci giorni (art. 370 cpv. 2 CPC ticinese). In concreto la sentenza è stata notificata il 13 dicembre 2006. Il termine di appello sarebbe così scaduto sabato 23 dicembre 2006, salvo prorogarsi a mercoledì 27 dicembre 2006 (v. art. 131 cpv. 3 CPC ticinese e art. 1 del decreto legislativo concernente i giorni festivi nel Cantone, del 10 luglio 1934, allora applicabile). Esperito l ' ultimo giorno utile, l'appello in esame è tempestivo e dunque ricevibile.</w:t>
      </w:r>
    </w:p>
    <w:p>
      <w:r>
        <w:rPr>
          <w:b/>
        </w:rPr>
        <w:t>E. 2</w:t>
      </w:r>
    </w:p>
    <w:p>
      <w:r>
        <w:t>L ' appellante acclude al suo rimedio i conteggi relativi alle indennità di disoccupazione da lei percepite da ottobre a dicembre del 2006 (appello, pag. 5 e 8). Tali documenti sono nuovi e di principio irricevibili. Infatti, nelle procedure a tutela dell'unione coniugale non erano ammissibili nuovi argomenti o nuovi mezzi di prova in appello (art. 321 cpv. 1 lett. b CPC ticinese; RtiD I-2004 pag. 596), tranne ove si applicasse il principio inquisitorio illimitato (in materia di filiazione: DTF 128 III 414 consid. 3.2.1), oppure ove il giudice decidesse di assumerli di sua iniziativa (nel diritto di famiglia: art. 419 b CPC ticinese). Estremi del genere non si ravvisano nella fattispecie dove, comunque sia, con l'ammissione dei documenti in questione l'esito della decisione non muterebbe (vedi sotto, consid. 6 e 8). Con riferimento alle relazioni personali, AP 1 considera la possibilità che gli atti siano rinviati al Pretore per ulteriori accertamenti e nuova decisione "previa nomina di un Servizio esperto nelle problematiche infantili". Ma – come si spiegherà in appresso – simile intervento risulta essere del tutto inutile (vedi sotto, consid. 4c).</w:t>
      </w:r>
    </w:p>
    <w:p>
      <w:r>
        <w:rPr>
          <w:b/>
        </w:rPr>
        <w:t>E. 3</w:t>
      </w:r>
    </w:p>
    <w:p>
      <w:r>
        <w:t>e 4). Né la madre pretende che la figlia le abbia patite o le soffra in concreto, limitandosi a rilevare una non precisata “necessità per la bambina di trascorrere le notti presso la madre” (appello, n. 3 pag. 5 al centro). Né si ravvisano indizi suscettibili di impedire che una figlia di cinque anni – al momento del giudizio di prima istanza – non possa trascorrere, nelle circostanze descritte, una notte con il padre ogni due settimane (v. analogamente, per un figlio di tre anni: I CCA, sentenza inc. 11.2008.136, citata, consid. 8). Già sotto questo profilo l ' appello appare sprovvisto di consistenza. d)   AP 1 afferma poi che il diritto di visita del padre  debba essere esercitato durante i giorni liberi di lui e non “a priori” da lunedì sera a mercoledì sera. Soggiunge l'appellante che è “essenziale che il padre si occupi personalmente della piccola” (appello, n. 3 pag. 5 in alto). Certo, la cadenza quindicinale stabilita dal Pretore può apparire insolita, in Ticino il diritto di visita bisettimanale essendo previsto per il fine settimana (RtiD I-2005 pag. 778), ma non è – al proposito – contestata dalla moglie, né appare d'acchito negativa per la figlia. La proposta dell'appellante di fissarlo durante i “giorni di libero da attività lavorativa del padre”, poi, non è da preferire. Intanto perché si presta a malintesi e, se assunta a dispositivo, sarebbe difficilmente esigibile (I CCA, sentenza inc. 11.2007.164 del 20 marzo 2008, consid. 6b con rimando), non spettando al giudice dell ' esecuzione accertare non meglio determinati “giorni di libero” del padre . E poi perché la moglie si contraddice nella sua argomentazione. Essa indica infatti che la figlia frequenta quotidianamente l'asilo, ma pretende che il padre se ne occupi “personalmente”. In simili circostanze la scelta del Pretore va condivisa e non è necessario eseguire altri accertamenti, come postulato dalla madre (vedi qui sopra consid. 2). e) Per finire, i soli riferimenti dell'appellante alla “tenera età della bambina” e alla necessità per la stessa “di trascorrere le notti presso la madre” non giustificano un'opposizione alle due settimane di vacanze estive con il padre, censura rimasta per il resto priva di adeguata motivazione, così come la critica mossa all'istituzione della curatela. Su questi punti l'appello si rivela quindi finanche irricevibile (art. 309 cpv. 2 lett. f in relazione con il cpv. 5 CPC ticinese).</w:t>
      </w:r>
    </w:p>
    <w:p>
      <w:r>
        <w:rPr>
          <w:b/>
        </w:rPr>
        <w:t>E. 4</w:t>
      </w:r>
    </w:p>
    <w:p>
      <w:r>
        <w:t>L'appellante impugna anche i contributi alimentari per lei e per la figlia, chiedendo un aumento per quello di quest'ultima e una riduzione del proprio. A tal fine il Pretore ha accertato un reddito mensile del marito di fr. 3340.– a fronte di un fabbisogno minimo di fr. 2200.– mensili (minimo esistenziale del diritto esecutivo fr. 1100.–, costo dell ' alloggio fr. 650.–, premio della cassa malati fr. 350.–, spese di trasporto fr. 100.–). Riguardo alla situazione finanziaria della moglie, pur rilevando un'attività dal maggio all ' agosto del 2006, il Pretore non le ha imputato entrate e ha stimato il suo fabbisogno minimo in fr. 1702.70 mensili ( minimo esistenziale del diritto esecutivo fr. 1250.–, costo dell ' alloggio fr. 366.65, premio della cassa malati fr. 48.95, assicurazione infortuni fr. 37.10 ). Calcolato da ultimo il fabbisogno in denaro della figlia in fr. 1083.35 (già considerata la quota di 1 / 3 del costo dell ' alloggio e dedotti fr. 695.– per cure ed educazione fornite dalla madre), il Pretore ha constatato un ammanco nel bilancio familiare, obbligando di conseguenza il marito a versare un contributo alimentare per la moglie di fr. 445.– mensili e per la figlia di  fr. 695.– mensili, dal 1° gennaio 2007.</w:t>
      </w:r>
    </w:p>
    <w:p>
      <w:r>
        <w:rPr>
          <w:b/>
        </w:rPr>
        <w:t>E. 5</w:t>
      </w:r>
    </w:p>
    <w:p>
      <w:r>
        <w:t>Sostiene l'appellante che il fabbisogno minimo del marito ammonta a fr. 1871.65 mensili, dato che il costo dell'alloggio è quello pari a un mezzo della pigione e delle spese accessorie per l'appartamento in cui egli vive con l'amica (fr. 545.– mensili), che il premio della cassa malati va diminuito a fr. 114.65 mensili, e che la spesa per il posteggio (fr. 100.– mensili) è inesistente. Le singole voci vanno esaminate separatamente. a) Per giurisprudenza invalsa questa Camera non calcola il fabbisogno minimo di un coniuge convivente riducendone a metà le spese, ma riconoscendo a quel coniuge il fabbisogno minimo che egli potrebbe esporre se vivesse per conto proprio (I CCA, sentenza inc. 11.2000.86 del 16 febbraio 2001; v. anche. RtiD II-2004 pag. 562 consid. 8a). E tale principio è stato considerato “corretto e per nulla arbitrario” dal Tribunale federale (sentenza 5P.101/2001 del 30 aprile 2001, consid. 4). In concreto il Pretore ha conteggiato una pigione di fr. 650.– mensili che, per una persona sola che vive a __________ o a __________ non può certo dirsi esagerata. Ciò posto non è il caso di intervenire sulla spesa accertata dal primo giudice a tal fine. b) In merito al premio della cassa malati, la moglie pretende di diminuire l'importo riconosciuto dal Pretore, di fr. 350.– il mese, a fr. 114.65 mensili. Essa si appoggia alle dichiarazioni rese dal marito nell'incarto DI.2006.176 (v. riassunto scritto prodotto durante l'udienza del 6 novembre 2006). Ora, detta procedura non consta essere stata formalmente annessa alla causa in esame, sebbene la moglie l'avesse richiamata (v. conclusioni dell'istante, pag. 8 n. 5). Comunque sia, anche se si ammettesse il richiamo, in quella procedura il marito aveva invero esposto un costo sanitario di fr. 114.65 mensili (v. doc. 5), ma egli aveva anche postulato il riconoscimento di spese per pasti fuori casa di fr. 300.– il mese e di spese di trasferta per lavoro di fr. 70.– mensili. Importi non contestati dalla moglie. Ora, che il marito abitasse a __________ e lavorasse al punto di ristoro dell'area di servizio autostradale non fa dubbio. Come è pacifico che per i turni cui è astretto egli necessiti di un'auto. E il Pretore, per queste poste, nulla ha conteggiato. Ciò posto, le critiche della moglie vanno respinte già per il fatto che la diminuzione della spesa sanitaria è compensata dai costi non accertati dal Pretore. c) Per quel che è della spesa per il posteggio, la doglianza è incomprensibile, il Pretore non avendo ammesso alcunché a tale titolo. In sintesi, dunque, il fabbisogno minimo del marito rimane fissato a fr. 2200.– mensili.</w:t>
      </w:r>
    </w:p>
    <w:p>
      <w:r>
        <w:rPr>
          <w:b/>
        </w:rPr>
        <w:t>E. 6</w:t>
      </w:r>
    </w:p>
    <w:p>
      <w:r>
        <w:t>L'appellante rimprovera al Pretore di non aver considerato il reddito da lei percepito nei mesi da maggio a agosto 2006, quando ha lavorato come cameriera presso l'esercizio pubblico "__________" di __________, e allega a tale titolo entrate per una media di fr. 1796.50 mensili, nonché indennità di disoccupazione relative al periodo da ottobre a dicembre 2006 per una media di fr. 1592.15 mensili. Se non che, come detto (sopra, consid. 2), si tratta di documenti nuovi, di per sé innammissibili. Si aggiunga che nel caso di lavoratori dipendenti il reddito determinante è quello netto conseguito al momento del giudizio (RtiD I-2004 pag. 595 n. 78c; da ultimo: I CCA, sentenza inc. 11.2006.115 del 21 settembre 2011, consid. 4), salvo mutamenti rilevanti nel periodo anteriore all'emanazione della decisione (RtiD I-2008 pag. 1026 n. 25c con richiami; da ultimo: I CCA, sentenza inc. 11.2006.115 del 21 settembre 2011, consid. 4). In ogni caso, anche tenendo in considerazione tali entrate, la situazione complessiva della famiglia non migliorerebbe, palesando sempre un ammanco (v. qui sotto consid. 8).</w:t>
      </w:r>
    </w:p>
    <w:p>
      <w:r>
        <w:rPr>
          <w:b/>
        </w:rPr>
        <w:t>E. 7</w:t>
      </w:r>
    </w:p>
    <w:p>
      <w:r>
        <w:t>AP 1 espone poi un fabbisogno minimo di fr. 1552.75 mensili, inferiore a quello riconosciutole dal Pretore (fr. 1702.70). L'errore deriva dal fatto che essa considera un importo di minimo esistenziale del diritto esecutivo di fr. 1100.– mensili invece di fr. 1250.– mensili. L'accertamento del Pretore si rivela dunque corretto. Pertinente sarebbe invece la richiesta di un aumento del fabbisogno in denaro della figlia tra maggio e agosto del 2006 a fr. 1778.35 mensili. Si tratta di quello previsto dalla tabella nell'edizione del 2005 e valida per il 2006 correlata alle raccomandazioni pubblicate dall'Ufficio della gioventù e dell'orientamento professionale del Canton Zurigo, cui questa Camera si ispira per prassi invalsa (Rep. 1998 pag. 175, 1994 pag. 298 consid. 5). Quell'importo tiene conto del fatto che la madre non può prestare cura ed educazione e che la quota di partecipazione al costo dell ' alloggio di 1 / 3 equivale a fr. 183.30.</w:t>
      </w:r>
    </w:p>
    <w:p>
      <w:r>
        <w:rPr>
          <w:b/>
        </w:rPr>
        <w:t>E. 8</w:t>
      </w:r>
    </w:p>
    <w:p>
      <w:r>
        <w:t>Ciò posto, il bilanc io delle entrate e delle uscite familiari mensili dall ' inoltro dell ' istanza (16 maggio 2006) al momento della decisione (11 dicembre 2006) necessiterebbe di reiterate ripetizioni di calcolo, per tenere conto delle variazioni di reddito della moglie appena menzionate. In ogni evenienza, nondimeno, la situazione familiare presenterebbe comunque sia – in ogni stadio – un ammanco. In simili circostanze, il debitore alimentare può conservare per sé il proprio fabbisogno minimo (DTF 128 III 414 consid. 3.2.1 con rinvii). In concreto il marito, il cui reddito e il cui fabbisogno non subiscono modifica alcuna rispetto a quanto accertato dal Pretore, deve destinare a moglie e figlia fr. 1140.– mensili complessivi (fr. 3340.– ./. fr. 2200.–). Nonostante l'eventuale maggior reddito imputabile alla moglie, si tratta della medesima somma accertata dal Pretore (fr. 1140.–). In esito alla presente decisione cambierebbe solo la chiave di riparto di questa somma fra moglie e figlia, nel senso che il contributo alimentare per la moglie fissato dal Pretore in fr. 445.–, risulterebbe nullo da maggio ad agosto 2006, di fr. 530.– (arrotondati) per settembre e ottobre 2006 e di fr. 70.– mensili da novembre 2006 in poi, mentre quello per la figlia stabilito in fr. 695.– mensili risulterebbe di fr. 1140.–, fr. 610.– e fr. 1070.– mensili. La moglie vedrebbe le proprie richieste parzialmente accolte per sé solo per due mensilità (settembre e ottobre 2006) e per la figlia per il resto. In definitiva tuttavia essa non otterrebbe alcun vantaggio complessivo, ricevendo sempre la stessa somma (v. art. 289 cpv. 1 CC). Essa potrà, se del caso, destinarne una porzione maggiore alla figlia. In ultima analisi l'appello è destinato così all'insuccesso (analogamente: I CCA, sentenza inc. 11.2008.29 del 18 ottobre 2011, consid. 4 con richiamo). Dandosene gli estremi, evidentemente, le parti avranno la possibilità di far modificare in ogni tempo le misure a tutela dell'unione coniugale (art. 179 cpv. 1 CC).</w:t>
      </w:r>
    </w:p>
    <w:p>
      <w:r>
        <w:rPr>
          <w:b/>
        </w:rPr>
        <w:t>E. 9</w:t>
      </w:r>
    </w:p>
    <w:p>
      <w:r>
        <w:t>L'appellante chiede infine di far decorrere i contributi alimentari per il periodo precedente all ' emanazione del giudizio pretorile, alimenti che il primo giudice ha invece negato vista la situazione di ammanco e ritenuto che sino allora valeva “il contributo deciso in via supercautelare” di fr. 1200.– mensili (sentenza impugnata, pag. 5). Il concreto AP 1 aveva chiesto un contributo alimentare di fr. 2173.50 per sé e la figlia senza specificarne la decorrenza. Di regola, i contributi alimentari fissati a tutela dell'unione coniugale vanno fatti decorrere dalla data della litispendenza – nella fattispecie il 16 maggio 2006 –, e non dalla data della decisione ( Schwander , Basler Kommentar, ZGB I, 3ª edizione, n. 6 ad art. 176 con richiamo ; in materia di contributo per i figli: I CCA, sentenza inc. 11.2008.21 del 13 maggio 2009, consid. 12a con rimando a Schwander , eo loc.). È vero che con il decreto cautelare, emanato senza contraddittorio, dell ' 8 giugno 2006 il primo giudice ha fissato in fr. 1200.– mensili il contributo per la figlia (“la prima volta per il mese di giugno con scadenza il 15 giugno 2006”). Ma ciò non vincola il giudizio finale ( I CCA, sentenza inc. 11.2008.21 del 13 maggio 2009 , consid. 12b ). In questa sede la moglie chiede un contributo per sé invero solo dal 1° settembre 2006. Questa sarebbe la data determinante per la moglie, mentre per la figlia AP 1 postula un contributo dal mese di maggio del 2006. Vero è anche che il Pretore non poteva fare decorrere – salvo estremi che qui non soccorrono – i contributi dal 1° gennaio 2007, l'istante non avendo rinunciato a quelli dovuti prima di quella data. Se non che, come visto qui sopra (consid. 8) si può prescindere – in via eccezionale – dalla modifica degli importi, la somma destinata a moglie e figlia essendo sostanzialmente identica a quanto fissato dal Pretore. Da quanto precede, anche la domanda di aumentare la trattenuta di salario del marito va respinta.</w:t>
      </w:r>
    </w:p>
    <w:p>
      <w:r>
        <w:rPr>
          <w:b/>
        </w:rPr>
        <w:t>E. 10</w:t>
      </w:r>
    </w:p>
    <w:p>
      <w:r>
        <w:t>Gli oneri dell'appello seguirebbero il principio della soccombenza (art. 148 cpv. 1 CPC ticinese), ma non si disconosce che l'appellante può essere stata indotta in buona fede a piatire, il Pretore avendo accertato la sua capacità lucrativa in modo erroneo. Eccezionalmente si giustifica così di rinunciare al prelievo di tasse o spese, mentre non è il caso di attribuire ripetibili al convenuto, cui l'appello non è stato notificato e non ha provocato costi. Per quanto attiene all'assistenza giudiziaria postulata dall'appellante, questa aveva – come detto – buone ragioni per impugnare la decisione del Pretore. La sua indigenza è del resto verosimile (art. 3 Lag), così come il fatto che ella non fosse in grado di procedere in lite con atti propri (art. 14 cpv. 2 Lag) e che una persona di condizioni agiate, posta nella medesima situazione, non avrebbe rinunciato a ricorrere solo per i costi della procedura (art. 14 cpv. 1 lett. b Lag). Rimane da definire l'indennità spettante al patrocinatore d'ufficio (art. 104 cpv. 1 CPC) dacché questa non può più essere impugnata al Consiglio di moderazione, abrogato il 31 dicembre 2010. Ora, il legale indica di avere dedicato alla pratica 9 ore e 30 minuti, di cui 7 ore e 30 per lo “studio e redazione appello con istanza di assistenza giudiziaria”. Se non che, un dispendio di 7 ore e 30 per preparare un allegato di 14 pagine (di cui quattro destinate al frontespizio e alle richieste di parte), attingendo in parte alle conclusioni di prima istanza appare eccessivo. Aggiungasi poi che AP 1 si è vista accogliere – ancorché senza modifica degli importi – solo le richieste in materia alimentare, mentre le tesi inerenti al diritto di visita e alla curatela educativa si sono rivelate prive di buon fondamento – il cui esito era valutabile già al momento della stesura del ricorso – se non addirittura scevre di adeguata motivazione. In circostanze del genere, un avvocato solerte e speditivo avrebbe potuto assolvere lo stesso compito in 4 ore e 30 minuti. A un avvocato commissionato d'ufficio va riconosciuto di conseguenza un dispendio di tempo di 6 ore e 30 minuti (a fr. 180.– l'ora), per un onorario di fr. 1170.–, cui si aggiungono le spese (fr. 214.–), senz'altro verosimili (art. 3 TOA), e l'IVA (tasso del 7.6% valido fino 31 dicembre 2010), per un'indennità di complessivi fr. 1489.20 (onorario fr. 1170.–, spese fr. 214.–, IVA fr. 105.20).</w:t>
      </w:r>
    </w:p>
    <w:p>
      <w:r>
        <w:rPr>
          <w:b/>
        </w:rPr>
        <w:t>E. 11</w:t>
      </w:r>
    </w:p>
    <w:p>
      <w:r>
        <w:t>Per quanto riguarda i rimedi giuridici contro l'attuale sentenza sul piano federale (art. 112 cpv. 1 lett. d LTF), un eventuale ricorso in materia civile è esperibile senza riguardo a questioni pecuniarie (art. 74 cpv. 1 lett. b LTF), giacché contesa davanti alla Camera non era solo l'entità d i contributi alimentari, ma anche la disciplina delle relazioni personali e l'istituzione di una curatela, controversie manifestamente prive di valore litigioso. Per questi motivi, vista sulle spese anche la tariffa giudiziaria, pronuncia: 1.   Nella misura in cui è ricevibile l ' appello è respinto e la sentenza impugnata è confermata. 2.   Non si riscuotono tasse o spese né si assegnano ripetibili. 3. L'appellante è ammessa al beneficio del gratuito patrocinio dell'PA 1. Lo Stato del Cantone Ticino verserà per l'appellante al patrocinatore d'ufficio un'indennità di fr. 1489.20. 4.   Notificazione: –; –; – Stato del Cantone Ticino, Ufficio dell'incasso e delle pene alternative, Torricella (in estratto, dispositivo n. 3). Comunicazione alla Pretura del Distretto di Bellinzona.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