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11.2004.91 vom 22. August 2007</w:t>
      </w:r>
    </w:p>
    <w:p>
      <w:r>
        <w:t>TI Tribunale d'appello, 2007-08-22, IT</w:t>
      </w:r>
    </w:p>
    <w:p>
      <w:r>
        <w:rPr>
          <w:b/>
        </w:rPr>
        <w:t xml:space="preserve">Quelle: </w:t>
      </w:r>
      <w:r>
        <w:t>https://mcp.opencaselaw.ch/entscheid/ti_gerichte_11.2004.91</w:t>
      </w:r>
    </w:p>
    <w:p>
      <w:r>
        <w:t>FR: TI_GERICHTE 11.2004.91 du 22 août 2007</w:t>
      </w:r>
    </w:p>
    <w:p>
      <w:r>
        <w:t>IT: TI_GERICHTE 11.2004.91 del 22 agosto 2007</w:t>
      </w:r>
    </w:p>
    <w:p>
      <w:pPr>
        <w:pStyle w:val="Heading2"/>
      </w:pPr>
      <w:r>
        <w:t>Regeste</w:t>
      </w:r>
    </w:p>
    <w:p>
      <w:r>
        <w:t>Misure a protezione dell'unione coniugale</w:t>
      </w:r>
    </w:p>
    <w:p>
      <w:pPr>
        <w:pStyle w:val="Heading2"/>
      </w:pPr>
      <w:r>
        <w:t>Erwägungen</w:t>
      </w:r>
    </w:p>
    <w:p>
      <w:r>
        <w:rPr>
          <w:b/>
        </w:rPr>
        <w:t>E. 4</w:t>
      </w:r>
    </w:p>
    <w:p>
      <w:r>
        <w:t>L'appellante censura altresì il fabbisogno minimo della moglie, rilevando che l'onere fiscale stimato dal Segretario assessore in fr. 200.– mensili è troppo elevato e dev ' essere ridotto a fr. 100.– mensili. Se non che, egli omette di fornire la benché minima spiegazione. Privo di motivazione, su questo punto l'appello si dimostra irricevibile (art. 309 cpv. 2 lett. f e cpv. 5 CPC).</w:t>
      </w:r>
    </w:p>
    <w:p>
      <w:r>
        <w:rPr>
          <w:b/>
        </w:rPr>
        <w:t>E. 5</w:t>
      </w:r>
    </w:p>
    <w:p>
      <w:r>
        <w:t>Secondo l ' appellante, dal suo reddito (accertato dal primo giudice in fr. 5900.– mensili) devono essere dedotti fr. 200.– mensili di “ indennità per pattugliatori ” , corrispondenti alle spese vive che gli causa l'attività da lui svolta, la quale prevede orari irregolari di giorno e di notte, in giorni festivi e feriali. L'argomentazione, nuova, si rivela ancora una volta irricevibile (art. 321 cpv. 2 lett. b CPC). Come questa Camera ha già avuto modo di rilevare, l'indennità fissa che un dipendente riceve a titolo di rimborso spese deve corrispondere – per essere dedotta dal reddito – all'entità media delle spese effettive verosimilmente sopportate dal lavoratore; mancando indicazioni a quest'ultimo riguardo, l'indennità può essere considerata, in tutto o in parte, alla stregua di reddito (FamPra.ch 2000 pag. 148 consid. 3; Rep. 1995 pag. 145 consid. 3 con richiami). Nella fattispecie tutto si ignora sui disborsi effettivi affrontati dall'interessato nell'esercizio della sua attività. Non sussistono ragioni, dunque, per scostarsi dal giudizio impugnato.</w:t>
      </w:r>
    </w:p>
    <w:p>
      <w:r>
        <w:rPr>
          <w:b/>
        </w:rPr>
        <w:t>E. 6</w:t>
      </w:r>
    </w:p>
    <w:p>
      <w:r>
        <w:t>Il convenuto sostiene infine che al suo fabbisogno minimo di fr. 4253.70 mensili va aggiunto il costo per il posteggio (fr. 80.– mensili) e la rata destinata al rimborso di un debito contratto per la casa di __________ (fr. 1932.95 mensili). a) Il Segretario assessore non ha riconosciuto il costo del posteggio perché non reso verosimile. Invero il contratto di locazione (nel doc. B) annovera, sotto la dicitura “ oggetto della locazione ”, anche un parcheggio esterno coperto che costa fr. 80.– mensili . Non è dato di capire tuttavia se tale cifra sia compresa nella pigione di fr. 1200.– mensili (spese accessorie incluse) riconosciuta dal primo giudice o no. Mancando ogni precisazione al riguardo, la spesa supplementare del posteggio non può dirsi sufficientemente verosimile. b) Quanto al rimborso del debito contratto con la __________ (doc. 5), come ha rilevato il primo giudice, il sostentamento della famiglia è prioritario rispetto al pagamento di debiti verso terzi (DTF 127 III 292 in alto). Con tale argomentazione l'appellante non si confronta, né rende verosimile che il mutuo, acceso per acquistare l'immobile in comproprietà con la moglie nella __________ (doc. 15), sia stato stipulato nell'interesse dell'economia domestica. Non si deve dimenticare per altro che nel proprio fabbisogno minimo il convenuto si è visto inserire fr. 1000.– mensili di contributo in favore del figlio A__________ (nato nel 1984, e quindi già maggiorenne al momento della litispendenza) senza avere reso verosimile alcun obbligo di mantenimento oltre la maggiore età (art. 277 cpv. 1 CC). Nel risultato egli non può quindi dolersi del giudizio impugnato.</w:t>
      </w:r>
    </w:p>
    <w:p>
      <w:r>
        <w:rPr>
          <w:b/>
        </w:rPr>
        <w:t>E. 7</w:t>
      </w:r>
    </w:p>
    <w:p>
      <w:r>
        <w:t>Tutto ciò posto, il quadro delle entrate e delle uscite familiari si compendia come segue: reddito del marito                                                        fr. 5900.— reddito della moglie                                                     fr. 2740.— fr. 8640.— mensili fabbisogno minimo del marito                                      fr. 4253.70 fabbisogno minimo della moglie                                   fr. 2744.30 fr. 6998.— mensili eccedenza                                                                 fr. 1642.— metà eccedenza                                                         fr.   821.–– mensili Il marito può conservare per sé: fr. 4253.70 + fr. 821.– =                                               fr. 5074.70 mensili e dovrebbe versare alla moglie fr. 2744.30 + 821.– ./. 2740.– =                                    fr.   825.30 mensili. Ne discende che il contributo alimentare per l ' istante fissato dal Segretario assessore (fr. 566.65 mensili) risulta addirittura favorevole al convenuto. Destituito di fondamento, l'appello è destinato pertanto all'insuccesso.</w:t>
      </w:r>
    </w:p>
    <w:p>
      <w:r>
        <w:rPr>
          <w:b/>
        </w:rPr>
        <w:t>E. 8</w:t>
      </w:r>
    </w:p>
    <w:p>
      <w:r>
        <w:t>Gli oneri processuali seguono la soccombenza (art. 148 cpv. 1 CPC). L ' appellante rifonderà inoltre alla controparte un ' adeguata indennità per ripetibili.</w:t>
      </w:r>
    </w:p>
    <w:p>
      <w:r>
        <w:rPr>
          <w:b/>
        </w:rPr>
        <w:t>E. 9</w:t>
      </w:r>
    </w:p>
    <w:p>
      <w:r>
        <w:t>Per quanto riguarda i rimedi giuridici sul piano federale (art. 112 cpv. 1 lett. d LTF), il valore litigioso ai fini del l'art. 74 cpv. 1 lett. b LTF supera ampiamente la soglia dei fr. 30 000.–, ove appena si capitalizzi il contributo in favore della moglie, che in difetto di scadenze prevedibili dev'essere – nel dubbio – calcolato a vita. Per questi motivi, vista sulle spese anche la tariffa giudiziaria, pronuncia: 1.   Nella misura in cui è ricevibile, l ' appello è respinto e la sentenza impugnata è confermata. 2.   Gli oneri processuali, consistenti in: a) tassa di giustizia      fr. 300.– b) spese                         fr.   50.– fr. 350.– sono posti a carico dell ' appellante, che rifonderà alla controparte fr. 1500.– per ripetibili. 3. Intimazione a: –    ; –    . Comunicazione alla Pretura del Distretto di Lugano, sezione 6. terzi implicati Per la prima Camera civile del Tribunale d ' 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