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11.2004.166 vom 7. September 2005</w:t>
      </w:r>
    </w:p>
    <w:p>
      <w:r>
        <w:t>TI Tribunale d'appello, 2005-09-07, IT</w:t>
      </w:r>
    </w:p>
    <w:p>
      <w:r>
        <w:rPr>
          <w:b/>
        </w:rPr>
        <w:t xml:space="preserve">Quelle: </w:t>
      </w:r>
      <w:r>
        <w:t>https://mcp.opencaselaw.ch/entscheid/ti_gerichte_11.2004.166</w:t>
      </w:r>
    </w:p>
    <w:p>
      <w:r>
        <w:t>FR: TI_GERICHTE 11.2004.166 du 7 septembre 2005</w:t>
      </w:r>
    </w:p>
    <w:p>
      <w:r>
        <w:t>IT: TI_GERICHTE 11.2004.166 del 7 settembre 2005</w:t>
      </w:r>
    </w:p>
    <w:p>
      <w:pPr>
        <w:pStyle w:val="Heading2"/>
      </w:pPr>
      <w:r>
        <w:t>Regeste</w:t>
      </w:r>
    </w:p>
    <w:p>
      <w:r>
        <w:t>Foro dell'azione riconvenzionale: connessione materiale.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Secondo l'art. 100 cpv. 1 CPC il giudice statuisce sui presupposti e le eccezioni processuali “ mediante decreto ” (art. 100 cpv. 1 CPC). In realtà egli statuisce con “ decreto ” qualora accerti il presupposto processuale o respinga l'eccezione. Qualora ravvisi la mancanza del presupposto processuale o accolga l'eccezione, come nella fattispecie, egli respinge l'azione in ordine e il suo pronunciato costituisce pertanto una “ sentenza ” (v. Cocchi/ Trezzini, CPC massimato e commentato, Lugano 2000 , pag. 315 nota 378). Ciò premesso, non occorre che in concreto la decisione impugnata sia provvista di effetto sospensivo (art. 100 cpv. 1 con rinvio all'art. 96 cpv. 3 CPC), tanto meno ove si consideri che l'udienza preliminare è stata limitata all'esame dell'eccezione processuale (art 181 cpv. 1 CPC) e che in simili casi il processo continua – per legge – sulle eccezioni proposte, “ sino a che queste non siano state decise con un giudizio definitivo” (art. 181 cpv. 2 CPC; Cocchi/Trezzini, op. cit., pag. 305 nota 363 in fine).</w:t>
      </w:r>
    </w:p>
    <w:p>
      <w:r>
        <w:rPr>
          <w:b/>
        </w:rPr>
        <w:t>E. 2</w:t>
      </w:r>
    </w:p>
    <w:p>
      <w:r>
        <w:t>Ricordato che una domanda riconvenzionale può essere proposta davanti al giudice della domanda principale solo “ se le due azioni sono materialmente connesse ” (art. 6 cpv. 1 LForo), il Pretore ha rilevato che nella fattispecie l'azione principale è volta alla tutela della proprietà (art. 641 CC), ovvero alla consegna di un immobile asseritamente occupato dal convenuto in maniera illecita, mentre la riconvenzione è intesa a ottenere dall'attore determinata documentazione in base alle norme sul rendiconto nell'ambito di un contratto di mandato (art. 400 CO). Non riscontrando due azioni “ materialmente connesse ” , egli ha respinto la riconvenzione in ordine.</w:t>
      </w:r>
    </w:p>
    <w:p>
      <w:r>
        <w:rPr>
          <w:b/>
        </w:rPr>
        <w:t>E. 3</w:t>
      </w:r>
    </w:p>
    <w:p>
      <w:r>
        <w:t>L'appellante sostiene che nel caso specifico la connessione materiale è data dal “ substrato fattuale ” , lo scopo dell'art. 6 LForo essendo quello di evitare giudizi contraddittori in presenza di azioni fondate “ sul medesimo complesso di fatti ” (DTF 130 III 607). E siccome tra le parti sussiste una “ complessa situazione economica ” nella quale rientra anche il denaro da lui consegnato all'attore per l'acquisito della particella n. 243 RFD di __________, l'azione reale risulta materialmente connessa all'azione di rendiconto degli importi messi a disposizione.</w:t>
      </w:r>
    </w:p>
    <w:p>
      <w:r>
        <w:rPr>
          <w:b/>
        </w:rPr>
        <w:t>E. 4</w:t>
      </w:r>
    </w:p>
    <w:p>
      <w:r>
        <w:t>La connessione materiale cui si riferisce l'art. 6 cpv. 1 LForo (ripresa dall'art. 172 CPC in vigore dal 29 marzo 2002) è identica a quella prevista sul piano internazionale dagli art. art. 8 LDIP e 6 n. 3 della Convenzione di Lugano (FF 1999 pag. 2445). Il suo scopo è – appunto – quello di evitare giudizi contraddittori, favorendo una liquidazione rapida ed efficace di vertenze tra loro correlate (DTF 129 III 232 consid. 3 con riferimenti). Le due azioni non devono necessariamente essere della stesso tipo o della stessa natura ( Spühler in: Spühler/Tenchio/Infanger, Bundes­gesetz über den Gerichtsstand in Zivilsachen, Basilea 2001, n. 12 ad art. 6; Mül­ler/Wirth in: Kommentar zum Bundesgesetz über den Gerichts­stand in Zivilsachen, Zurigo 2001, n. 8 ad art. 6; Keller­hals/von Werdt/Güngerich , Gerichtsstandsgesetz, 2ª edizione, n. 9 e 10 ad art. 6). Basta che si fondino sulla mede­sima causa fattuale o giuridica, cioè sulla stessa fattispecie o sullo stesso contratto (DTF 129 III 232 consid. 3.1). In tal senso si è espresso ancora di recente il Tribunale federale sull'art. 6 n. 3 della Convenzione di Lugano (DTF 130 III 619 consid. 5).</w:t>
      </w:r>
    </w:p>
    <w:p>
      <w:r>
        <w:rPr>
          <w:b/>
        </w:rPr>
        <w:t>E. 5</w:t>
      </w:r>
    </w:p>
    <w:p>
      <w:r>
        <w:t>Nel caso in esame sussiste tra le parti “ una complessa situazione economica ” , come ha sottolineato anche la seconda Camera civile di appello nell'ambito della procedura di sfratto (sopra, lett. A). Per ciò solo le due azioni non possono ritenersi tuttavia – contrariamente all'opinione del ricorrente – “ materialmente connesse ” . Una connessione materiale non si crea per il mero fatto che pretese diverse poggino su relazioni d'affari comuni o finanche su stretti legami personali (DTF 129 III 235 consid. 3.3). Che l'attore fosse il consulente legale del convenuto e che i due fossero genericamente in rapporti d'affari non basta dunque per denotare una “ con­nessione materiale ” delle azioni. Resta il fatto che il convenuto sostiene di avere finanziato in gran parte con mezzi propri l'acquisto della proprietà immobiliare (non potendo egli – cittadino straniero – acquistare personalmente il fondo) e che in forza di ciò ha acquisito la “ proprietà economica ” dello stabile. Limitatamente all'im­mobile, dunque, l'azione di rendiconto denota una sufficiente connessione materiale con l'azione negatoria, a maggior ragione pensando che al mandatario incombe l'obbligo di restituire tutto quanto abbia ricevuto in virtù del mandato, compresi eventuali immobili acquistati a titolo fiduciario ( Fellmann in: Berner Kommentar, n. 142 segg. ad art. 400 CO). Un'altra questione è sapere se la tesi del convenuto sia pertinente o no, ma ciò andrà esaminato con il giudizio di merito e non riguarda la proponibilità della riconvenzione. Non sussiste, invece, connessione materiale tra l'azione principale e la richiesta di rendiconto circa l'uso di fr. 8 500 000.– confluiti su conti dell'__________, così come tra l'azione principale e altri rapporti patrimoniali con l'attore, estranei alla proprietà del fondo litigioso.</w:t>
      </w:r>
    </w:p>
    <w:p>
      <w:r>
        <w:rPr>
          <w:b/>
        </w:rPr>
        <w:t>E. 6</w:t>
      </w:r>
    </w:p>
    <w:p>
      <w:r>
        <w:t>Accertata una connessione materiale – ancorché parziale – tra la domanda principale e la riconvenzione, rimane da verificare se sussistano anche gli altri presupposti enunciati dalla dottrina ( Donzallaz , op. cit., n. 15 ad art. 6; Spühler , op. cit. n. 13-16 ad art. 6; Hohl , Procédure civile, vol. I, Berna 2001, pag. 86 n. 365; Vogel/Spühler, Grund­riss des Zivilprozessrechts, 7 ª edizione, pag. 200 segg. § 7 n. 53 segg.). Ora, in concreto il giudice adito è senz'altro competente per materia. Alle due azioni, poi, si applica la medesima procedura (quella ordinaria, la procedura dell'art. 488 a CPC riguardando solo ipotesi immediatamente accertabili, ciò che non è il caso nella fattispecie, vista la complessa situazione economica tra le parti: Cocchi/Trezzini, op. cit. , appendice 2000/2004, pag. 479 nota 606). Infine l'azione riconvenzionale è stata introdotta tempestivamente (art. 173 CPC). Se ne conclude che l'appello risulta parzialmente provvisto di buon diritto e che la sentenza impugnata va riformata nel senso che la competenza per territorio del Pretore a trattare l'azione riconvenzionale è data limitatamente alla questione del rendiconto sul­l'uso dei DM 1 300 000.– versati da AP 1 a AO 1.</w:t>
      </w:r>
    </w:p>
    <w:p>
      <w:r>
        <w:rPr>
          <w:b/>
        </w:rPr>
        <w:t>E. 7</w:t>
      </w:r>
    </w:p>
    <w:p>
      <w:r>
        <w:t>Gli oneri processuali seguono la reciproca soccombenza (art. 148 cpv. 2 CPC). Tutto ponderato, si giustifica di porre a carico dell'appellante due terzi della tassa di giustizia e delle spese, con obbligo di rifondere alla controparte un'indennità per ripetibili ridotte. L'esito del giudizio odierno impone la corrispondente modifica del dispositivo sulle spese e le ripetibili di primo grado. Per questi motivi, vista sulle spese anche la tariffa giudiziaria, pronuncia: I.   L'appello è parzialmente accolto e la sentenza impugnata è così riformata: 1.  L'eccezione è parzialmente accolta, nel senso che è accertata la competenza per territorio del giudice adito in via riconvenzionale limitatamente alla questione del rendiconto sull'uso di DM 1 300 000.– versati da AP 1 a AO 1. 2. La tassa di giustizia e le spese, da anticipare da AP 1, sono per due terzi a carico di quest'ultimo e per il resto sono a carico di AO 1, al quale AP 1 rifonderà fr. 400.– a titolo di ripetibili. Per il resto l'appello è respinto. II.   Gli oneri processuali, consistenti in: a) tassa di giustizia     fr. 550.– b) spese                       fr. 50.– fr. 600.– sono posti per due terzi a carico dell'appellante e per un terzo a carico della controparte, alla quale AP 1 rifonderà fr. 1000.– per ripetibili ridotte. III.   Intimazione a: . Comunicazione alla Pretura del Distretto di Lugano, sezione 3. terzi implicati Per la prima Camera civile del Tribunale d'appello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