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11.2004.160 vom 19. November 2007</w:t>
      </w:r>
    </w:p>
    <w:p>
      <w:r>
        <w:t>TI Tribunale d'appello, 2007-11-19, IT</w:t>
      </w:r>
    </w:p>
    <w:p>
      <w:r>
        <w:rPr>
          <w:b/>
        </w:rPr>
        <w:t xml:space="preserve">Quelle: </w:t>
      </w:r>
      <w:r>
        <w:t>https://mcp.opencaselaw.ch/entscheid/ti_gerichte_11.2004.160</w:t>
      </w:r>
    </w:p>
    <w:p>
      <w:r>
        <w:t>FR: TI_GERICHTE 11.2004.160 du 19 novembre 2007</w:t>
      </w:r>
    </w:p>
    <w:p>
      <w:r>
        <w:t>IT: TI_GERICHTE 11.2004.160 del 19 novembre 2007</w:t>
      </w:r>
    </w:p>
    <w:p>
      <w:pPr>
        <w:pStyle w:val="Heading2"/>
      </w:pPr>
      <w:r>
        <w:t>Regeste</w:t>
      </w:r>
    </w:p>
    <w:p>
      <w:r>
        <w:t>Accesso necessario</w:t>
      </w:r>
    </w:p>
    <w:p>
      <w:pPr>
        <w:pStyle w:val="Heading2"/>
      </w:pPr>
      <w:r>
        <w:t>Erwägungen</w:t>
      </w:r>
    </w:p>
    <w:p>
      <w:r>
        <w:rPr>
          <w:b/>
        </w:rPr>
        <w:t>E. 9</w:t>
      </w:r>
    </w:p>
    <w:p>
      <w:r>
        <w:t>Infine l'attrice rivendica il diritto di accesso necessario sottolineando che nel caso specifico i fondi risultati dalla parcellazione si devono reciproci obblighi di passo veicolare. Così argomentando, essa sembra richiamare il principio per cui un accesso necessario va chiesto anzitutto al vicino “dal quale, a causa dello stato preesistente della proprietà e della viabilità, si può ragionevolmente esigere la concessione del passo” (art. 694 cpv. 1 CC). La tesi però cade nel vuoto. Il fondo dell'attrice invero non è stato privato di accesso sufficiente in seguito a mutazioni nello stato dei fondi, ove appena si consideri l'originaria particella n. 1995 già lambiva la pubblica via. Per di più, prima della lottizzazione l'accesso al fondo avveniva da nord-est. Solo in seguito è stata costituita la servitù di passo veicolare a carico delle particelle n. 353 e 355 (deposizione di __________, del 10 settembre 2002: verbali, pag. 9). Anche su questo punto l'appello è destinato pertanto all'insuccesso.</w:t>
      </w:r>
    </w:p>
    <w:p>
      <w:r>
        <w:rPr>
          <w:b/>
        </w:rPr>
        <w:t>E. 10</w:t>
      </w:r>
    </w:p>
    <w:p>
      <w:r>
        <w:t>Gli oneri del giudizio odierno seguono la soccombenza (art. 148 cpv. 1 CPC). L'appellante rifonderà inoltre alla controparte, che ha formulato osservazioni al ricorso per il tramite di un patrocinatore, un'adeguata indennità per ripetibili.</w:t>
      </w:r>
    </w:p>
    <w:p>
      <w:r>
        <w:rPr>
          <w:b/>
        </w:rPr>
        <w:t>E. 11</w:t>
      </w:r>
    </w:p>
    <w:p>
      <w:r>
        <w:t>Relativamente ai rimedi giuridici proponibili contro la presente sentenza (art. 112 cpv. 1 lett. d LTF), il citato valore litigioso di fr. 90 000.– (sopra, consid. 1) supera ampiamente la soglia per un ricorso in materia civile al Tribunale federale (fr. 30 000.–: art. 74 cpv. 1 lett. b LTF). Per questi motivi, vista sulla spese anche la tariffa giudiziaria, pronuncia: 1.   L'appello è respinto e la sentenza impugnata è confermata. 2.   Gli oneri processuali, consistenti in: a) tassa di giustizia      fr. 1750.– b) spese                         fr.     50.– fr. 1800.– sono posti a carico dell'appellante, che rifonderà alla convenuta fr. 2500.– per ripetibili. 3.   Intimazione a: –; –. Comunicazione alla Pretura della giurisdizione di Mendrisio Nord. terzi implicati Per la prima Camera civile del Tribunale d'appello Il presidente                                                           Il segretario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