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11.2003.59 vom 25. August 2003</w:t>
      </w:r>
    </w:p>
    <w:p>
      <w:r>
        <w:t>TI Tribunale d'appello, 2003-08-25, IT</w:t>
      </w:r>
    </w:p>
    <w:p>
      <w:r>
        <w:rPr>
          <w:b/>
        </w:rPr>
        <w:t xml:space="preserve">Quelle: </w:t>
      </w:r>
      <w:r>
        <w:t>https://mcp.opencaselaw.ch/entscheid/ti_gerichte_11.2003.59</w:t>
      </w:r>
    </w:p>
    <w:p>
      <w:r>
        <w:t>FR: TI_GERICHTE 11.2003.59 du 25 août 2003</w:t>
      </w:r>
    </w:p>
    <w:p>
      <w:r>
        <w:t>IT: TI_GERICHTE 11.2003.59 del 25 agosto 2003</w:t>
      </w:r>
    </w:p>
    <w:p>
      <w:pPr>
        <w:pStyle w:val="Heading2"/>
      </w:pPr>
      <w:r>
        <w:t>Regeste</w:t>
      </w:r>
    </w:p>
    <w:p>
      <w:r>
        <w:t>Sentenza o decisione senza scheda</w:t>
      </w:r>
    </w:p>
    <w:p>
      <w:pPr>
        <w:pStyle w:val="Heading2"/>
      </w:pPr>
      <w:r>
        <w:t>Erwägungen</w:t>
      </w:r>
    </w:p>
    <w:p>
      <w:r>
        <w:rPr>
          <w:b/>
        </w:rPr>
        <w:t>E. 2</w:t>
      </w:r>
    </w:p>
    <w:p>
      <w:r>
        <w:t>La ricusazione ha carattere eccezionale (DTF 116 Ia 19 consid. 4, 115 Ia 175 consid. 3). Appurarne i presupposti significa verificare se, dal profilo oggettivo, il giudice ricusato offra le garanzie necessarie per escludere legittimi dubbi di parzialità. A tal fine vanno considerati anche aspetti d'ordine funzionale e organizzativo, non senza trascurare le apparenze (DTF 126 I 169 consid. 2a con rinvii, 120 Ia 187 consid. 2b, 117 Ia 410 consid. 2a). Che certi atteggiamenti di un magistrato possano essere avvertiti dal ricusante come espressioni di parzialità poco importa. Decisivo è chiarire se tali impressioni soggettive appaiano anche oggettivamente fondate (DTF 116 Ia 137 consid. 2a e 2b).</w:t>
      </w:r>
    </w:p>
    <w:p>
      <w:r>
        <w:rPr>
          <w:b/>
        </w:rPr>
        <w:t>E. 3</w:t>
      </w:r>
    </w:p>
    <w:p>
      <w:r>
        <w:t>Per quel che concerne i rapporti personali tra l'istante e il Pretore, tutto si ignora, nessuna traccia evincendosi dal fascicolo processuale. Né l'interessata ha maggiormente sostanziato una pretesa inimicizia. Insufficientemente motivata, su questo punto, l'istanza si rivela finanche irricevibile ( Cocchi/Trezzini , CPC massimato e commentato, Lugano 2000, n. 2 ad art. 29). Del resto, per giustificare una ricusa non basta un'antipatia, ancorché dichiarata, ma occorre un'avversione marcata, grave e profonda ( Poudret , op. cit., n. 4.2 ad art. 23). Per di più, l'avversione dev'essere quella del magistrato verso la parte e non viceversa, poiché lo scopo della norma è quella di assicurare alla parte un giudice imparziale, non quella di conferire alla parte il diritto di scegliere il magistrato che meglio le aggrada.</w:t>
      </w:r>
    </w:p>
    <w:p>
      <w:r>
        <w:rPr>
          <w:b/>
        </w:rPr>
        <w:t>E. 4</w:t>
      </w:r>
    </w:p>
    <w:p>
      <w:r>
        <w:t>Con riferimento al procedimento in oggetto, l'istante si duole che il Pretore abbia respinto la richiesta della sua patrocinata intesa allo stralcio della causa, assegnandole un termine di grazia per presentare la risposta e rubricando la trattenuta di stipendio con lo stesso numero della causa promossa dall'attore. Ora, per quanto riguarda il decreto del 22 aprile 2003 con cui Pretore ha respinto lo stralcio della causa, il semplice fatto che il primo giudice non abbia condiviso la richiesta della convenuta non basta a denotare parzialità. Tanto meno ove si pensi che la decisione è stata confermata da questa Camera con sentenza del 27 maggio 2003 e che i ricorsi introdotti dalla convenuta al Tribunale federale sono stati dichiarati irricevibili. Mal si intravede di conseguenza una qualsivoglia prevenzione da parte del primo giudice. Circa l'assegnazione dei 10 giorni per presentare l'atto di risposta, il Pretore si è limitato ad applicare l'art. 169 cpv. 1 CPC, che prevede appunto l'assegnazione di quel termine. Per quale motivo l'operato del Pretore in tale circostanza adombrerebbe prevenzione verso la patrocinatrice della convenuta non è dato di capire. Anche al proposito la ricusazione manca di qualsiasi consistenza. Relativamente infine alla rubricazione di due procedure con lo stesso numero, il Pretore neppure si è occupato del­la trattenuta di stipendio, ordinata dal Segretario assessore. Non si comprende dunque perché il pronunciato in questione tradirebbe parzialità nei confronti dell'istante. Del resto, giovi rammentare che soltan­to sbagli particolarmente grossolani o ripetuti, tali da configurare violazioni gravi dei doveri di funzione, possono destare oggettivi sospetti di parzialità. Semplici errori vanno censurati con i mezzi d'impugnazione previsti dall'ordina­mento giuridico (DTF 116 Ia 20 consid. 5b con rinvio). Estremi del genere non si ravvisano nella fattispecie. Manifestamente infondata, l'istanza di ricusazione non merita pertanto altra disamina.</w:t>
      </w:r>
    </w:p>
    <w:p>
      <w:r>
        <w:rPr>
          <w:b/>
        </w:rPr>
        <w:t>E. 5</w:t>
      </w:r>
    </w:p>
    <w:p>
      <w:r>
        <w:t>Gli oneri del giudizio odierno seguono il principio della soccombenza (art. 148 cpv. 1 CPC). L'istante rifonderà a __________ __________, che ha presentato osservazioni all'istanza di ricusa con l'ausilio di un legale, un'adeguata indennità per ripetibili. Per questi motivi, vista sulle spese anche la tariffa giudiziaria, pronuncia: 1.   Nella misura in cui è ricevibile, l'istanza di ricusazione è respinta. 2.   Gli oneri processuali, consistenti in: a) tassa di giustizia      fr. 200.– b) spese                         fr.   50.– fr. 250.– sono posti a carico dell'avv. dr __________ __________ -__________, che rifonderà a __________ __________ un'indennità di fr. 300.– per ripetibili. 3.   Intimazione a: – avv. dr __________ __________ -__________, __________; – avv. __________ __________ -__________, __________. Comunicazione alla Pretura della giurisdizione di Mendrisio Sud.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