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11.2003.44 vom 5. Mai 2003</w:t>
      </w:r>
    </w:p>
    <w:p>
      <w:r>
        <w:t>TI Tribunale d'appello, 2003-05-05, IT</w:t>
      </w:r>
    </w:p>
    <w:p>
      <w:r>
        <w:rPr>
          <w:b/>
        </w:rPr>
        <w:t xml:space="preserve">Quelle: </w:t>
      </w:r>
      <w:r>
        <w:t>https://mcp.opencaselaw.ch/entscheid/ti_gerichte_11.2003.44</w:t>
      </w:r>
    </w:p>
    <w:p>
      <w:r>
        <w:t>FR: TI_GERICHTE 11.2003.44 du 5 mai 2003</w:t>
      </w:r>
    </w:p>
    <w:p>
      <w:r>
        <w:t>IT: TI_GERICHTE 11.2003.44 del 5 maggio 2003</w:t>
      </w:r>
    </w:p>
    <w:p>
      <w:pPr>
        <w:pStyle w:val="Heading2"/>
      </w:pPr>
      <w:r>
        <w:t>Regeste</w:t>
      </w:r>
    </w:p>
    <w:p>
      <w:r>
        <w:t>Sentenza o decisione senza scheda</w:t>
      </w:r>
    </w:p>
    <w:p>
      <w:pPr>
        <w:pStyle w:val="Heading2"/>
      </w:pPr>
      <w:r>
        <w:t>Erwägungen</w:t>
      </w:r>
    </w:p>
    <w:p>
      <w:r>
        <w:rPr>
          <w:b/>
        </w:rPr>
        <w:t>E. 1</w:t>
      </w:r>
    </w:p>
    <w:p>
      <w:r>
        <w:t>L'appellante __________ __________ si è costituita in appello rappresentata dal tutore __________ __________. La legittimazione del rappresentante di una parte è un presupposto processuale che va verificato d'ufficio in ogni stadio di causa (art. 97 n. 4 CPC; Rep. 1994 pag. 372). L'autorizzazione a stare in lite (art. 421 n. 8 CC) è stata concessa dalla Commissione tutoria regionale 14 con risoluzione 9 aprile 2003, trasmessa alla Camera dalla pretura di Bellinzona il 23 aprile 2003.</w:t>
      </w:r>
    </w:p>
    <w:p>
      <w:r>
        <w:rPr>
          <w:b/>
        </w:rPr>
        <w:t>E. 2</w:t>
      </w:r>
    </w:p>
    <w:p>
      <w:r>
        <w:t>L'art. 581 cpv. 1 CC stabilisce che l'inventario dell'eredità è compilato dall'autorità competente secondo il diritto cantonale. Il Codice civile non prevede un termine fisso, come nel caso dell'erede chiamato a decidere se accetti l'eredità (art. 587 cpv. 1 CC). Nel Cantone Ticino l'inventario è allestito nelle forme previste dagli art. 466 segg. CPC, cui rinvia l'art. 474 cpv. 1 CPC. Il Pretore designa allo scopo un notaio (art. 466 cpv. 1 CPC), cui impartisce un termine, che può essere prorogato se le circostanze lo richiedono (art. 466 cpv. 3 CPC).</w:t>
      </w:r>
    </w:p>
    <w:p>
      <w:r>
        <w:rPr>
          <w:b/>
        </w:rPr>
        <w:t>E. 3</w:t>
      </w:r>
    </w:p>
    <w:p>
      <w:r>
        <w:t>Nel Cantone Ticino l'atto con cui il giudice proroga un termine è un'ordinanza (art. 130 cpv. 2 CPC), trattandosi di una misura che disciplina il procedimento (art. 94 cpv. 1 CPC). La decisione impugnata è per altro designata chiaramente come tale. Ora, le ordinanze, emanate giusta l'art. 286 CPC, non sono appellabili, né possono essere impugnate con qualsivoglia altro rimedio giuridico (art. 95 cpv. 1 CPC). Ne segue che l'appello in rassegna, improponibile, può essere deciso con la procedura semplificata dell'art. 313 bis CPC. L'emanazione del giudizio odierno rende per altro senza oggetto la richiesta di effetto sospensivo.</w:t>
      </w:r>
    </w:p>
    <w:p>
      <w:r>
        <w:rPr>
          <w:b/>
        </w:rPr>
        <w:t>E. 4</w:t>
      </w:r>
    </w:p>
    <w:p>
      <w:r>
        <w:t>Gli oneri processuali seguono la soccombenza delle appellanti (art. 148 cpv. 1 CPC). Non è il caso invece di attribuire ripetibili all'istante, alla quale l'appello non è stato intimato e non ha cagionato spese presumibili.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