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11.2003.141 vom 17. November 2003</w:t>
      </w:r>
    </w:p>
    <w:p>
      <w:r>
        <w:t>TI Tribunale d'appello, 2003-11-17, IT</w:t>
      </w:r>
    </w:p>
    <w:p>
      <w:r>
        <w:rPr>
          <w:b/>
        </w:rPr>
        <w:t xml:space="preserve">Quelle: </w:t>
      </w:r>
      <w:r>
        <w:t>https://mcp.opencaselaw.ch/entscheid/ti_gerichte_11.2003.141</w:t>
      </w:r>
    </w:p>
    <w:p>
      <w:r>
        <w:t>FR: TI_GERICHTE 11.2003.141 du 17 novembre 2003</w:t>
      </w:r>
    </w:p>
    <w:p>
      <w:r>
        <w:t>IT: TI_GERICHTE 11.2003.141 del 17 novembre 2003</w:t>
      </w:r>
    </w:p>
    <w:p>
      <w:pPr>
        <w:pStyle w:val="Heading2"/>
      </w:pPr>
      <w:r>
        <w:t>Regeste</w:t>
      </w:r>
    </w:p>
    <w:p>
      <w:r>
        <w:t>Sentenza o decisione senza scheda</w:t>
      </w:r>
    </w:p>
    <w:p>
      <w:pPr>
        <w:pStyle w:val="Heading2"/>
      </w:pPr>
      <w:r>
        <w:t>Erwägungen</w:t>
      </w:r>
    </w:p>
    <w:p>
      <w:r>
        <w:rPr>
          <w:b/>
        </w:rPr>
        <w:t>E. 2</w:t>
      </w:r>
    </w:p>
    <w:p>
      <w:r>
        <w:t>Il Pretore ha accertato che il convenuto non ha mai versato integralmente il contributo alimentare per moglie e figli di fr. 5730.– mensili posto a suo carico con decreto supercautelare del 14 luglio 2003, confermato con sentenza del 29 settembre 2003, limitandosi a versare unicamente fr. 3438.60 mensili. L'appellante rileva sostanzialmente di avere versato il solo minimo esistenziale per la moglie in attesa di una decisione definitiva. Aggiunge che all'udienza del 2 settembre 2003 egli aveva affermato di attenersi alla decisione del Pretore, intenzione poi messa in pratica poiché dopo l'emanazione della sentenza del 29 settembre 2003 egli ha integralmente versato i contributi ivi stabiliti. Egli, infine, assevera che la trattenuta dallo stipendio rischia di causargli pregiudizi sia per il mantenimento della sua attività professionale sia per eventuali possibilità di carriera.</w:t>
      </w:r>
    </w:p>
    <w:p>
      <w:r>
        <w:rPr>
          <w:b/>
        </w:rPr>
        <w:t>E. 3</w:t>
      </w:r>
    </w:p>
    <w:p>
      <w:r>
        <w:t>L'appellante non nega di avere versato a moglie e figli, per i mesi di luglio, agosto e settembre 2003, unicamente l'importo di fr. 3438.–. Ora, una trattenuta di stipendio non si giustifica per la sola circostanza che il debitore ritardi il pagamento di un singolo contributo periodico o per un semplice ritardo nei pagamenti, la diffida ai debitori dovendo rispettare il principio della proporzionalità ( Schwenzer in: Praxiskommentar Scheidungsrecht, Basilea 2000, n. 2 ad art. 132 CC). In concreto, tuttavia, alla discussione del 2 settembre 2003 il convenuto ha ribadito di non volersi attenere al decreto emanato dal Pretore il 14 luglio 2003, rimettendosi tutt'al più a quello che sarebbe stato preso dopo il contraddittorio (verbali, pag. 1 e 3). Certo, i contributi fissati in via supercautelare non sono affatto definitivi, ma ciò non toglie che un decreto del genere sia immediatamente eseguibile e regoli au­toritativamente l'assetto dei coniugi fino alla decisione motivata emessa dal giudice dopo l'istruzione e il dibattimento finale. Il convenuto, assistito da un legale, non poteva ignorare tale circostanza né era legittimato – men che meno – a ignorare il decreto. Al momento in cui ha statuito il Pretore, la prognosi sulla sua disponibilità a rispettare quanto decretato senza contraddittorio era dunque negativa. E rimaneva negativa anche al dibattimento finale, nell'ambito del quale il convenuto ha accampato difficoltà finanziarie (“come si evince dall'estratto del conto salario … dal quale figura uno scoperto di fr. 5000.–”: verbale, pag.</w:t>
      </w:r>
    </w:p>
    <w:p>
      <w:r>
        <w:rPr>
          <w:b/>
        </w:rPr>
        <w:t>E. 8</w:t>
      </w:r>
    </w:p>
    <w:p>
      <w:r>
        <w:t>a metà; v. anche doc. 11). Nelle circostanze descritte la trattenuta di stipendio appariva quindi giustificata. A maggior ragione ove si consideri che, contrariamente a quanto asserisce, l'appellante non risulta avere pagato integralmente nemmeno il contributo di ottobre 2003, sebbene nel frattempo il decreto cautelare dopo contraddittorio fosse ormai stato emesso. Ne discende che l'appello, sprovvisto di buon diritto, è destinato all'insuccesso. 4. L'emanazione del giudizio odierno rende senza oggetto la richiesta di effetto sospensivo contenuta nell'appello. 5. Gli oneri processuali del giudizio odierno seguono la soccombenza del convenuto (art. 148 cpv. 1 CPC). Non si giustifica invece di assegnare ripetibili alla controparte, cui l'appello non è stato intimato e non ha causato costi presumibili. Per questi motivi, vista sulle spese anche la tariffa giudiziaria pronuncia: 1.   L'appello è respinto e la sentenza impugnata è confermata. 2. Gli oneri processuali, consistenti in: a) tassa di giustizia      fr. 200.– b) spese                         fr.   50.– fr. 250.– sono posti a carico dell'appellante. Non si attribuiscono ripetibili. 3.   Intimazione a: – avv.; Comunicazione alla Pretura del Distretto di Bellinzona.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