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11.2002.4 vom 27. Dezember 2001</w:t>
      </w:r>
    </w:p>
    <w:p>
      <w:r>
        <w:t>TI Tribunale d'appello, 2001-12-27, IT</w:t>
      </w:r>
    </w:p>
    <w:p>
      <w:r>
        <w:rPr>
          <w:b/>
        </w:rPr>
        <w:t xml:space="preserve">Quelle: </w:t>
      </w:r>
      <w:r>
        <w:t>https://mcp.opencaselaw.ch/entscheid/ti_gerichte_11.2002.4_d20011227</w:t>
      </w:r>
    </w:p>
    <w:p>
      <w:r>
        <w:t>FR: TI_GERICHTE 11.2002.4 du 27 décembre 2001</w:t>
      </w:r>
    </w:p>
    <w:p>
      <w:r>
        <w:t>IT: TI_GERICHTE 11.2002.4 del 27 dicembre 2001</w:t>
      </w:r>
    </w:p>
    <w:p>
      <w:pPr>
        <w:pStyle w:val="Heading2"/>
      </w:pPr>
      <w:r>
        <w:t>Regeste</w:t>
      </w:r>
    </w:p>
    <w:p>
      <w:r>
        <w:t>Sentenza o decisione senza scheda</w:t>
      </w:r>
    </w:p>
    <w:p>
      <w:pPr>
        <w:pStyle w:val="Heading2"/>
      </w:pPr>
      <w:r>
        <w:t>Erwägungen</w:t>
      </w:r>
    </w:p>
    <w:p>
      <w:r>
        <w:rPr>
          <w:b/>
        </w:rPr>
        <w:t>E. 2</w:t>
      </w:r>
    </w:p>
    <w:p>
      <w:r>
        <w:t>Il ricorso all'autorità cantonale di vigilanza è un rimedio giuridico ordinario, munito per principio di effetto sospensivo, diretto a un grado di giurisdizione provvisto di pieno potere cogni­tivo in fatto e in diritto (art. 46 della citata legge sull'organizzazione e la procedura in materia di tutele e curatele; v. anche Geiser in: Basler Kommentar, ZGB I, 2ª edizione, n. 19 segg. ad art. 420). Le decisioni dell'autorità di vigilanza sostituiscono quin­di le risoluzioni delle Delegazioni tutorie (ora Commissioni tutorie regionali), sicché annullando o riformando le prime si annullano o si riformano automaticamente le seconde. Ne deriva che la richiesta dell'appellante intesa a far annullare, oltre alla decisione impugnata, le due riso­luzioni della Delegazio­ne tutoria di __________ non ha portata pratica.</w:t>
      </w:r>
    </w:p>
    <w:p>
      <w:r>
        <w:rPr>
          <w:b/>
        </w:rPr>
        <w:t>E. 3</w:t>
      </w:r>
    </w:p>
    <w:p>
      <w:r>
        <w:t>I documenti prodotti con l'appello sono, ancorché nuovi, ammissibili (art. 424 a cpv. 2 CPC). L'intero diritto di filiazione è governato del resto dal principio inquisitorio illimitato (DTF 120 II 231 consid. 1c con richiamo), alla stessa stregua del diritto tutelare ( Schnyder/Murer in: Berner Kommentar, 3ª edizione, n. 123 ad art. 373 CC con richiami). Ciò premesso, non può tuttavia essere dato seguito al richiamo dell'appellante circa un non meglio certificato per l'ammissione all'assistenza giudiziaria, che sarebbe “penden­te da parecchio tempo e rimasto inevaso” (memoriale, pag. 11). Anzitutto perché spetta all'appellante medesima procurarsi tale documento con i mezzi che la legge le offre, ma soprat­tutto perché l'interessata non postula il beneficio dell'assistenza giudiziaria in appello. Mal si intravede perciò quale sarebbe l'utilità del richiamo.</w:t>
      </w:r>
    </w:p>
    <w:p>
      <w:r>
        <w:rPr>
          <w:b/>
        </w:rPr>
        <w:t>E. 4</w:t>
      </w:r>
    </w:p>
    <w:p>
      <w:r>
        <w:t>__________ __________ __________ chiede di essere sentito in appello allo sco­po di “esporre e comprovare tutte le [sue] affermazioni circa i problemi della __________ __________ ed il pericolo che corre il piccolo __________ ”. La domanda può essere interpretata come istanza volta all'indizione di un dibattimen­to orale, che questa Camera può sempre disporre d'ufficio “se lo ritiene utile per la sua decisione” (art. 324 cpv. 1 CPC). Nel caso specifico però gli atti di causa appaiono sufficientemente completi ai fini del giudizio, che dipende da mere questioni di procedura (da risolvere d'ufficio), di modo che un contraddittorio non porterebbe verosimili elementi di rilievo. Dalla convocazione a un dibattimento orale si può dunque prescindere.</w:t>
      </w:r>
    </w:p>
    <w:p>
      <w:r>
        <w:rPr>
          <w:b/>
        </w:rPr>
        <w:t>E. 5</w:t>
      </w:r>
    </w:p>
    <w:p>
      <w:r>
        <w:t>A norma dell'art. 273 cpv. 1 CC il padre o la madre può esigere che il suo diritto all'esercizio del­le relazioni personali con il figlio sia regolato. Se la richiesta è avanzata nel quadro di misure a tutela dell'unione coniugale, oppure nell'ambito di una causa di divorzio o di separazione, la decisione compete al giudice (art. 133 cpv. 1 CC). Negli altri casi la decisione spet­ta all'autorità tutoria del domicilio del figlio (art. 275 cpv. 1 CC). Analogo principio vale per le misure di protezione che gli art. 307 segg. CC prevedono “se il bene del figlio è minacciato e i genitori non vi rimediano o non sono in grado di rimediarvi”. Nel quadro di misure a tutela dell'unio­ne coniugale, oppure nell'ambito di una causa di divorzio o di separazione, tali provvedimenti sono presi – di regola – dal giudice (art. 315 a cpv. 1 CC). Negli altri casi essi incombono all'autorità tutoria, se non direttamente all'autorità di vigilanza.</w:t>
      </w:r>
    </w:p>
    <w:p>
      <w:r>
        <w:rPr>
          <w:b/>
        </w:rPr>
        <w:t>E. 6</w:t>
      </w:r>
    </w:p>
    <w:p>
      <w:r>
        <w:t>Le regolamentazioni del diritto di visita o le misure a protezione del figlio decise dal giudice sono adottate seguendo la procedura civile applicabile alla singola causa (tutela dell'unione coniu­gale, separazione o divorzio). La relativa sentenza è poi impugna­bile con appello davanti a questa Camera, sempre secondo le norme della procedura civile. Le regolamentazioni del diritto di visita o le misure a protezione del figlio decise dall'autorità tutoria sono adottate invece seguendo la legge sull'or­ga­niz­zazione e la procedura in materia di tutele e curatele (RL 4.1.2.2). Tali decisioni sono suscettibili di ricorso all'autorità di vigilanza, a meno che la misura debba essere presa direttamen­te da quest'ultima (si pensi alla privazione dell'autorità parentale: art. 311 CC). L'autorità di vigilanza segue, a sua volta, la legge sull'or­ganizzazione e la procedura in materia di tutele e curatele (art. 21 della legge medesima). La relativa decisione è poi impugnabile con appello davanti a questa Camera, secondo le norme della procedura civile (sopra, consid. 1).</w:t>
      </w:r>
    </w:p>
    <w:p>
      <w:r>
        <w:rPr>
          <w:b/>
        </w:rPr>
        <w:t>E. 7</w:t>
      </w:r>
    </w:p>
    <w:p>
      <w:r>
        <w:t>In concreto non pende tra le parti alcuna procedura a tutela dell'unio­ne coniugale, né tanto meno alcuna causa di divorzio o di separazione, già per il fatto che le parti non sono sposate. A disciplinare il diritto di visita giusta l'art. 273 cpv. 1 CC è stata chia­mata dunque la Delegazione tutoria di __________, che ha statuito il 4 aprile 2000 (sopra, lett. A). La modifica di tale regola­mentazione incombeva anch'essa all'autorità tutoria (art. 315 b cpv. 2 CC), e in specie alla Delegazione tutoria di __________, nuovo domicilio del figlio (art. 275 cpv. 1 CC). Questa doveva verificare altresì, di sua iniziativa, se occorrevano eventuali misure di protezione in virtù degli art. 307 segg. CC. Tali misure comprendono – giovi ricordare – l'ammonimen­to ai genitori, agli affilianti o al figlio, le istruzioni per la cura, l'educazione o l'istruzione, la designazione di una persona o di un ufficio idoneo che abbia diritto di controllo e di informazione (art. 307 cpv. 3 CC), la nomina di un curatore al figlio perché consigli e aiuti i genitori nel­la cura del minorenne (art. 308 cpv. 1 CC), la privazione della custodia parentale e il conveniente ricovero del ragazzo (art. 310 cpv. 1 CC). La privazione dell' autorità parentale e la nomina di un tutore spettano invece all'autorità di vigilanza (art. 311 CC, riservato l'art. 312).</w:t>
      </w:r>
    </w:p>
    <w:p>
      <w:r>
        <w:rPr>
          <w:b/>
        </w:rPr>
        <w:t>E. 8</w:t>
      </w:r>
    </w:p>
    <w:p>
      <w:r>
        <w:t>Nelle due risoluzioni del 28 dicembre 2000, su cui l'autorità di vigilanza ha statuito con la decisione appellata, la Delegazione tutoria di __________ ha conferito – come detto – al Servizio medico-psi­co­­lo­gico di __________ l'incarico di approfondire i problemi evocati nel suo rapporto del 31 agosto 2000 e ha ordinato a __________ __________ di sottoporsi a perizia psichiatrica. Ora, v'è da domandarsi se decisioni siffatte, che non prevedono né una disciplina del diritto di visita né una misura a protezione del figlio, bensì la semplice assunzione di prove, fossero impugnabili. La legge sull'or­ga­niz­za­zio­ne e la procedura in materia di tutele e curatele non definisce il concetto di decisione impugnabile. Secondo la procedura per le cause amministrative nondimeno, cui si deve far capo sussidiariamente in ossequio all'art. 21 della citata legge (e che è richiamata anche dall'art. 424 cpv. 2 CPC), decisioni del genere sono considerate meramente “incidentali” ( Borghi/ Corti , Compendio di procedura amministrativa ticinese, Lugano 1997, pag. 234, n. 2 lett. b). Sono impugnabili, dunque, solo ove provochino al ricorrente un danno “non altrimenti riparabile” (art. 44 LPAmm).</w:t>
      </w:r>
    </w:p>
    <w:p>
      <w:r>
        <w:rPr>
          <w:b/>
        </w:rPr>
        <w:t>E. 9</w:t>
      </w:r>
    </w:p>
    <w:p>
      <w:r>
        <w:t>Nella decisione impugnata l'autorità di vigilanza nemmeno accenna a eventuali danni irreparabili. Ciò induce a interrogarsi se essa abbia avuto corretta nozione circa il requisito di atto impugnabile. Comunque sia, e come si è visto poc'anzi, le decisioni dell'autorità di vigilanza sono impugnabili solo con appello. E l'appello è proponibile unicamente ove soccorrano i presup­posti del Codice di procedura civile. Dinanzi a questa Camera, in altri termini, la procedura amministrativa lascia spazio alla proce­dura civile (in materia di diritto di visita e di protezione del figlio, del resto, il Tribunale federale può essere adito – se mai – con ricorso per riforma, non con ricorso di diritto amministrativo). Ora, nella procedura civile ticinese la decisione con cui un giudice dispone l'assunzione di pro­ve è una semplice ordinanza (“or­di­nanza sulle prove”: art. 182 CPC), come tale inappellabile (art. 95 cpv. 1 CPC). L'analoga decisione con cui un Pretore dispone, nell'ambito di misure a tutela dell'unione coniugale oppure di una causa di separazione o di divorzio, l'assunzione di rapporti scritti di terzi o di servizi specialistici (sia per disciplinare il diritto di visi­ta di un genitore, sia in vista di adottare misure a protezione del figlio), è – appunto – un'ordinanza. Non si vede perché un simile atto dovrebbe essere trat­tato diversamente qualora emani da un'autorità tutoria. Tanto meno se si pensa che contro la decisione dell'autorità tutoria è dato ricorso all'autorità di vigilanza, quanto meno in caso di danno “non altrimenti riparabile”, mentre nessun rimedio è dato contro un'ordinanza sulle prove emessa dal giudice.</w:t>
      </w:r>
    </w:p>
    <w:p>
      <w:r>
        <w:rPr>
          <w:b/>
        </w:rPr>
        <w:t>E. 10</w:t>
      </w:r>
    </w:p>
    <w:p>
      <w:r>
        <w:t>Ne segue che, contrariamente a quanto figura nel dispositivo n. 5 della decisione impugnata, nella fattispecie non era dato appello contro il sindacato dell'autorità di vigilanza. È vero che, come questa Camera ha già avuto modo di rilevare, la risoluzione con cui un'autorità tutoria dispone l'esame medico o psichiatrico di un minorenne può anche configurare una misura autonoma a protezione del figlio nel senso dell'art. 307 cpv. 3 CC (RDAT II-1998 pag. 156 consid. 4a). In proposito bisogna nondimeno distinguere: se è diretta ai genitori, l'ingiunzione dell'autorità tutoria affinché il figlio sia sottoposto a esame medico o psichiatrico può considerarsi in effetti un'“istruzione per la cura” del ragazzo a men­te dell'art. 307 cpv. 3 CC. Può quindi essere impugnata davanti all'autorità di vigilanza e, in seguito, davanti a questa Camera con appello. Se invece l'esa­me medico o psicologico è destinato solo – come in concreto – a chiarire la necessità di un intervento, l'autorità tutoria non sapendo ancora se il bene del figlio sia minacciato, la risoluzione è una semplice misura istruttoria (sentenza del Tribunale federale __________ .__________/__________ del 19 novembre 2002, consid. 1.2, menzionata in: FamPra.ch 2003 pag. 200), salvo – ma l'ipotesi è estranea al caso in esa­me – che tale misura sia combinata con una privazione della liber­tà a scopo d'assistenza Breitschimid in: Basler Kommentar, op. cit., n. 16 ad art. 307 CC; cfr. FamPra.ch 2003 pag. 197). In questo secondo caso la risoluzione dell'autorità tutoria è impugnabile all'autorità di vigilanza solo ove sia suscettibile di arrecare un danno irreparabile e non è più appellabile davanti a questa Camera. L'eventuale pregiudizio irreparabile può essere fatto va­lere, tutt'al più, nel quadro di un eventuale ricorso di diritto pubblico al Tribunale federale (si veda, in caso di perizia psichia­trica, la sentenza del Tribunale federale 2P.170/2000 del 27 ottobre 2000, consid. 1a).</w:t>
      </w:r>
    </w:p>
    <w:p>
      <w:r>
        <w:rPr>
          <w:b/>
        </w:rPr>
        <w:t>E. 11</w:t>
      </w:r>
    </w:p>
    <w:p>
      <w:r>
        <w:t>Se ne conclude che nella fattispecie l'appello dev'essere dichiarato irricevibile, le due decisioni prese dall'autorità tutoria (e precisate dall'autorità di di vigilanza) configurando l'equivalente di semplici “ordinanze sulle prove”. Gli oneri processuali del giudizio odierno seguirebbero la soccombenza (art. 148 cpv. 1 CPC). Dato nondimeno che l'interessata può essere stata indotta ad appellare dall'erronea indicazione dei rimedi giuridici contenuta nella decisione impugnata, sono date giuste ragioni (nel senso dell'art. 148 cpv. 2 CPC) per rinunciare eccezionalemente al prelievo di tasse e spese. Non è il caso in ogni modo di assegnare ripetibili ad __________ __________ __________, che non ha formulato osservazioni all'appello. Per questi motivi, pronuncia: 1.   L'appello è irricevibile. 2.   Non si riscuotono tasse o spese né si assegnano ripetibili. 3.   Intimazione: – avv. __________ __________, __________; – __________ __________ __________ __________, __________ (per __________). Comunicazione: –  Divisione degli interni, Sezione degli enti locali quale autorità di vigilanza sulle tutele; –  Delegazione tutoria di __________ (ora Commissione tutoria regionale 2, Mendrisio).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