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11.2002.28 vom 21. April 2005</w:t>
      </w:r>
    </w:p>
    <w:p>
      <w:r>
        <w:t>TI Tribunale d'appello, 2005-04-21, IT</w:t>
      </w:r>
    </w:p>
    <w:p>
      <w:r>
        <w:rPr>
          <w:b/>
        </w:rPr>
        <w:t xml:space="preserve">Quelle: </w:t>
      </w:r>
      <w:r>
        <w:t>https://mcp.opencaselaw.ch/entscheid/ti_gerichte_11.2002.28</w:t>
      </w:r>
    </w:p>
    <w:p>
      <w:r>
        <w:t>FR: TI_GERICHTE 11.2002.28 du 21 avril 2005</w:t>
      </w:r>
    </w:p>
    <w:p>
      <w:r>
        <w:t>IT: TI_GERICHTE 11.2002.28 del 21 aprile 2005</w:t>
      </w:r>
    </w:p>
    <w:p>
      <w:pPr>
        <w:pStyle w:val="Heading2"/>
      </w:pPr>
      <w:r>
        <w:t>Regeste</w:t>
      </w:r>
    </w:p>
    <w:p>
      <w:r>
        <w:t>azione di riduzione: determinazione del compendio successorio</w:t>
      </w:r>
    </w:p>
    <w:p>
      <w:pPr>
        <w:pStyle w:val="Heading2"/>
      </w:pPr>
      <w:r>
        <w:t>Erwägungen</w:t>
      </w:r>
    </w:p>
    <w:p>
      <w:r>
        <w:rPr>
          <w:b/>
        </w:rPr>
        <w:t>E. 2</w:t>
      </w:r>
    </w:p>
    <w:p>
      <w:r>
        <w:t>Il Pretore, accertato anzitutto che all'attore, figlio unico della disponente, spettavano tre quarti della successione (art. 471 n. 1 CC), ha appurato che il saldo sul libretto di risparmio intestato alla medesima era il</w:t>
      </w:r>
    </w:p>
    <w:p>
      <w:r>
        <w:rPr>
          <w:b/>
        </w:rPr>
        <w:t>E. 7</w:t>
      </w:r>
    </w:p>
    <w:p>
      <w:r>
        <w:t>Nella fattispecie l'attore non ha mai contestato di avere ricevuto in donazione dalla madre la quota di comproprietà sulla particella n. 2394 (replica, n. 2 pag. 3; conclusioni, n. 5 pag. 4; il fatto è anzi ammesso in appello: osservazioni, n. 1 pag. 4 con riferimento all'appello, n. 1 pag. 2). Né potrebbe essere diversamente, evincendosi dagli atti che mediante contratto di divisione ereditaria parziale del 29 luglio 1996 __________ ha rinunciato in favore del figlio a qualsiasi pretesa riguardante la particella (doc. CC, 2° e 3° foglio). Il fondo apparteneva in precedenza al defunto marito della disponente, padre dell'attore (doc. BB), il quale aveva disposto in favore della moglie una quota ereditaria pari a cinque ottavi, lasciando la porzione legittima al figlio (doc. U: testamento pubblico, pag. 2). La particella è poi passata in proprie­tà della comunione ereditaria, composta di __________ e AO 1 (doc. BB, 1° foglio), e dopo lo scioglimento di tale comunione all'attore (doc. CC, 1° e 2° foglio). Che quest'ultimo abbia versato un corrispettivo non risulta. Quanto alla donazione, essa risale a poco più di tre anni prima della morte di __________, né si ravvisano indizi che inducano a scorgere un'alienazione nell'intento di garantire – o di migliorare – il sostentamento dell'attore (cfr. Weimar , op. cit., n. 9 ad art. 475 CC). Essa costituisce perciò una liberalità soggetta a riduzione giusta l'art. 527 n. 3 CC e rientra nella computo della successione.</w:t>
      </w:r>
    </w:p>
    <w:p>
      <w:r>
        <w:rPr>
          <w:b/>
        </w:rPr>
        <w:t>E. 8</w:t>
      </w:r>
    </w:p>
    <w:p>
      <w:r>
        <w:t>L'appellante si duole di avere postulato a suo tempo una perizia sul valore venale della particella n. 2394, che tuttavia il Pretore ha respinto. Egli rammenta di avere stimato tale valore nella risposta in almeno fr. 180 000.–, rapportando il valore donato dalla madre al figlio a fr. 112 500.– (⅝ di fr. 180 000.–). Se non che, egli afferma, il valore è nel frattempo lievitato, il fondo essendo stato venduto per il tramite di un'agenzia immobiliare al prezzo di fr. 620 000.–. Donde una donazione che può essere stimata in circa fr. 387 500.– (⅝ di fr. 620 000.–) , il che permetterebbe di escludere una lesione della porzione legittima spettante all'attore. Il convenuto chiede pertanto che si assuma in appello la prova rifiutata dal Pretore. L'attore obietta che la controparte allega fatti nuovi, per altro senza alcun riscontro probatorio, e definisce inutile la perizia, la pretesa in questione non rientrando nell'eredità. Per calcolare gli attivi di una successione fa stato il valore venale dei beni alla morte del disponente (DTF 110 II 228 consid. 7b; Staehlin , op. cit., n. 2 e 14 ad art. 474 CC). Il valore dichiarato a fini fiscali o nell'ambito dell'inventario della successione è irrilevante. Che il fondo in rassegna sia stato venduto al prezzo (dichiarato dall'appellante) di fr. 620 000.– dopo l'istruttoria, oltre a costituire un fatto nuovo (e come tale irricevibile: art. 321 cpv. 1 lett. b CPC), non interessa. Decisivo è il valore venale della particella n. 2394 il 7 ottobre 1999, giorno in cui è deceduta __________. A suo tempo il Pretore aveva respinto l'esecuzione di una perizia su tale valore, fondandosi sul fallace presupposto che a tal fine il convenuto dovesse essere legittimato a promuovere azione di riduzione (ordinanza del 14 settembre 2001 nel fascicolo allegati). A parte la motivazione errata, il risultato era corretto. L'importo di fr. 180 000.– indicato dal convenuto (risposta, pag. 3, n. 2), invero, non è stato contestato dall'attore (replica, pag. 2 e 3, n. 2). Doveva dunque presumersi ammesso (art. 170 cpv. 2 CPC). Ne segue che per determinare il compendio successorio il Pretore doveva dipartirsi dall'importo di fr. 112 500.– (⅝ di fr. 180 000.–), corrispondente al valore della quota della particella n. 2394 donata dalla madre al figlio.</w:t>
      </w:r>
    </w:p>
    <w:p>
      <w:r>
        <w:rPr>
          <w:b/>
        </w:rPr>
        <w:t>E. 9</w:t>
      </w:r>
    </w:p>
    <w:p>
      <w:r>
        <w:t>Secondo l'art. 522 cpv. 1 CC gli eredi che non ottengono l'importo della loro legittima possono pretendere che le disposizioni eccedenti la porzione disponibile siano ridotte alla giusta misura. Dato quanto precede, il compendio successorio va ricalcolato in fr. 195 958.15, comprendente l'importo di fr. 83 458.15 (incontestato: sopra, consid. 3 in principio) aumentato di fr. 112 500.–. La porzione legittima spettante a AO 1 corrisponde cosi a fr. 146 968.60 (¾ di fr. 195 958.15). L'attore ha già ricevuto il noto fondo, del valore di fr. 112 500.–, e il saldo di fr. 14 341.25 depositato sul libretto di risparmio n. __________ della Banca dello Stato (doc. E), per complessivi fr. 126 841.25. La porzione legittima è pertanto lesa nella misura di fr. 20 127.35 (fr. 146 968.60 ./. fr. 126 841.25). L'appello va dunque accolto fino a concorrenza di tale somma e il dispositivo n. 1 della sentenza impugnata riformato nel senso che il convenuto verserà all'attore l'importo di fr. 20 127.35 con interessi al 5% dal 20 ottobre 2000.</w:t>
      </w:r>
    </w:p>
    <w:p>
      <w:r>
        <w:rPr>
          <w:b/>
        </w:rPr>
        <w:t>E. 10</w:t>
      </w:r>
    </w:p>
    <w:p>
      <w:r>
        <w:t>L'appellante chiede anche la riforma del dispositivo n. 2 della sentenza impugnata (appello, pag. 1) per vedere accogliere la sua riconvenzione e condannare AO 1 a corrispondergli il legato di fr. 2000.– previsto nel testamento della zia. Ora, per tacere del fatto che egli non si confronta minimamente con le argomentazioni addotte dal Pretore, nell'appello egli si limita a sostenere che, computando il valore della donazione fatta dalla disponente al figlio nel 1996, la porzione legittima di quest'ultimo è ampiamente rispettata e quindi “trova applicazione l'obbligo di versare il legato”. Se non che, quanto precede smentisce appieno tale assunto. Pur computando nell'asse successorio il valore della quota della particella n. 2394 donata dalla madre al figlio il 29 luglio 1996, infatti, la porzione legittima di quest'ultimo risulta pur sempre lesa nella misura di fr. 20 127.35 (sopra, consid. 9). Nulla giustifica quindi che l'attore proceda al versamento del legato (art. 486 cpv. 1 CC). Su questo punto l'appello è destinato alla reiezione.</w:t>
      </w:r>
    </w:p>
    <w:p>
      <w:r>
        <w:rPr>
          <w:b/>
        </w:rPr>
        <w:t>E. 11</w:t>
      </w:r>
    </w:p>
    <w:p>
      <w:r>
        <w:t>Gli oneri del giudizio odierno seguono il vicendevole grado di soccombenza (art. 148 cpv. 2 CPC). Il convenuto ottiene causa vinta per sei decimi rispetto alla spettanza dell'attore stabilita in prima sede (fr. 48 252.25), ma esce sconfitto sulla riconvenzione (legato di fr. 2000.–). Nel complesso appare equo pertanto addebitare a ciascuno la metà degli oneri processuali e compensare le ripetibili. L'esito dell'attuale giudizio impone una modifica del dispositivo sugli oneri e le ripetibili di primo grado, nel senso che l'attore va ritenuto soccombente per sei decimi, con obbligo di rifondere al convenuto un'indennità per ripetibili ridotte. Per questi motivi, vista sulle spese anche la tariffa giudiziaria, pronuncia: 1.   L'appello è parzialmente accolto e il dispositivo n. 1 della sentenza impugnata è così riformato: La petizione è parzialmente accolta, nel senso che il convenuto è tenuto a versare all'attore fr. 20 127.35 con interessi al 5% dal 20 ottobre 2000. La tassa di giustizia fr. 2000.– e le spese di fr. 20.–, da anticipare dall'attore, sono posti per sei decimi a carico di lui e per il resto a carico del convenuto, cui l'attore rifonderà fr. 700.– per ripetibili ridotte. Per il resto l'appello è respinto e la sentenza impugnata è confermata. 2.   Gli oneri d'appello, consistenti in: a) tassa di giustizia      fr. 1050.– b) spese                         fr.      50.– fr. 1100.– da anticipare dall'appellante, sono posti a carico delle parti in ragione di metà ciascuno, compensate le ripetibili. 3.   Intimazione: –    ;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